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11480" w14:textId="77777777" w:rsidR="000D019A" w:rsidRPr="00D47F3C" w:rsidRDefault="000D019A" w:rsidP="000D019A">
      <w:pPr>
        <w:ind w:right="51"/>
        <w:jc w:val="center"/>
        <w:rPr>
          <w:rFonts w:ascii="Arial" w:hAnsi="Arial" w:cs="Arial"/>
          <w:b/>
          <w:color w:val="000000" w:themeColor="text1"/>
          <w:sz w:val="32"/>
          <w:szCs w:val="32"/>
        </w:rPr>
      </w:pPr>
      <w:bookmarkStart w:id="0" w:name="_Toc23253006"/>
    </w:p>
    <w:p w14:paraId="3BEC66F0" w14:textId="77777777" w:rsidR="000D019A" w:rsidRPr="00D47F3C" w:rsidRDefault="000D019A" w:rsidP="000D019A">
      <w:pPr>
        <w:ind w:right="51"/>
        <w:jc w:val="center"/>
        <w:rPr>
          <w:rFonts w:ascii="Arial" w:hAnsi="Arial" w:cs="Arial"/>
          <w:b/>
          <w:color w:val="000000" w:themeColor="text1"/>
          <w:sz w:val="32"/>
          <w:szCs w:val="32"/>
        </w:rPr>
      </w:pPr>
    </w:p>
    <w:p w14:paraId="7735E983" w14:textId="77777777" w:rsidR="000D019A" w:rsidRPr="00D47F3C" w:rsidRDefault="000D019A" w:rsidP="000D019A">
      <w:pPr>
        <w:ind w:right="51"/>
        <w:jc w:val="center"/>
        <w:rPr>
          <w:rFonts w:ascii="Arial" w:hAnsi="Arial" w:cs="Arial"/>
          <w:b/>
          <w:color w:val="000000" w:themeColor="text1"/>
          <w:sz w:val="32"/>
          <w:szCs w:val="32"/>
        </w:rPr>
      </w:pPr>
    </w:p>
    <w:p w14:paraId="6A4C4F1B" w14:textId="77777777" w:rsidR="000D019A" w:rsidRPr="00D47F3C" w:rsidRDefault="000D019A" w:rsidP="000D019A">
      <w:pPr>
        <w:ind w:right="51"/>
        <w:jc w:val="center"/>
        <w:rPr>
          <w:rFonts w:ascii="Arial" w:hAnsi="Arial" w:cs="Arial"/>
          <w:b/>
          <w:color w:val="000000" w:themeColor="text1"/>
          <w:sz w:val="32"/>
          <w:szCs w:val="32"/>
        </w:rPr>
      </w:pPr>
    </w:p>
    <w:p w14:paraId="0C83BD37" w14:textId="77777777" w:rsidR="000D019A" w:rsidRPr="00D47F3C" w:rsidRDefault="000D019A" w:rsidP="000D019A">
      <w:pPr>
        <w:ind w:right="51"/>
        <w:jc w:val="center"/>
        <w:rPr>
          <w:rFonts w:ascii="Arial" w:hAnsi="Arial" w:cs="Arial"/>
          <w:b/>
          <w:color w:val="000000" w:themeColor="text1"/>
          <w:sz w:val="32"/>
          <w:szCs w:val="32"/>
        </w:rPr>
      </w:pPr>
    </w:p>
    <w:p w14:paraId="34FEAADE" w14:textId="77777777" w:rsidR="000D019A" w:rsidRPr="00D47F3C" w:rsidRDefault="000D019A" w:rsidP="000D019A">
      <w:pPr>
        <w:ind w:right="51"/>
        <w:jc w:val="center"/>
        <w:rPr>
          <w:rFonts w:ascii="Arial" w:hAnsi="Arial" w:cs="Arial"/>
          <w:b/>
          <w:color w:val="000000" w:themeColor="text1"/>
          <w:sz w:val="32"/>
          <w:szCs w:val="32"/>
        </w:rPr>
      </w:pPr>
    </w:p>
    <w:p w14:paraId="28EDCFDB" w14:textId="77777777" w:rsidR="000D019A" w:rsidRPr="00D47F3C" w:rsidRDefault="000D019A" w:rsidP="000D019A">
      <w:pPr>
        <w:ind w:right="51"/>
        <w:jc w:val="center"/>
        <w:rPr>
          <w:rFonts w:ascii="Arial" w:hAnsi="Arial" w:cs="Arial"/>
          <w:b/>
          <w:color w:val="000000" w:themeColor="text1"/>
          <w:sz w:val="32"/>
          <w:szCs w:val="32"/>
        </w:rPr>
      </w:pPr>
    </w:p>
    <w:p w14:paraId="464BC9CB" w14:textId="77777777" w:rsidR="000D019A" w:rsidRPr="00D47F3C" w:rsidRDefault="000D019A" w:rsidP="000D019A">
      <w:pPr>
        <w:ind w:right="51"/>
        <w:jc w:val="center"/>
        <w:rPr>
          <w:rFonts w:ascii="Arial" w:hAnsi="Arial" w:cs="Arial"/>
          <w:b/>
          <w:color w:val="000000" w:themeColor="text1"/>
          <w:sz w:val="32"/>
          <w:szCs w:val="32"/>
        </w:rPr>
      </w:pPr>
    </w:p>
    <w:p w14:paraId="6489444A" w14:textId="77777777" w:rsidR="000D019A" w:rsidRPr="00D47F3C" w:rsidRDefault="000D019A" w:rsidP="000D019A">
      <w:pPr>
        <w:ind w:right="51"/>
        <w:jc w:val="center"/>
        <w:rPr>
          <w:rFonts w:ascii="Arial" w:hAnsi="Arial" w:cs="Arial"/>
          <w:b/>
          <w:color w:val="000000" w:themeColor="text1"/>
          <w:sz w:val="32"/>
          <w:szCs w:val="32"/>
        </w:rPr>
      </w:pPr>
    </w:p>
    <w:p w14:paraId="010DB908" w14:textId="77777777" w:rsidR="000D019A" w:rsidRPr="00D47F3C" w:rsidRDefault="000D019A" w:rsidP="000D019A">
      <w:pPr>
        <w:ind w:right="51"/>
        <w:jc w:val="center"/>
        <w:rPr>
          <w:rFonts w:ascii="Arial" w:hAnsi="Arial" w:cs="Arial"/>
          <w:b/>
          <w:color w:val="000000" w:themeColor="text1"/>
          <w:sz w:val="32"/>
          <w:szCs w:val="32"/>
        </w:rPr>
      </w:pPr>
    </w:p>
    <w:p w14:paraId="06801BD6" w14:textId="77777777" w:rsidR="000D019A" w:rsidRPr="00D47F3C" w:rsidRDefault="000D019A" w:rsidP="000D019A">
      <w:pPr>
        <w:ind w:right="51"/>
        <w:jc w:val="center"/>
        <w:rPr>
          <w:rFonts w:ascii="Arial" w:hAnsi="Arial" w:cs="Arial"/>
          <w:b/>
          <w:color w:val="000000" w:themeColor="text1"/>
          <w:sz w:val="32"/>
          <w:szCs w:val="32"/>
        </w:rPr>
      </w:pPr>
    </w:p>
    <w:p w14:paraId="7BB88F7F" w14:textId="77777777" w:rsidR="000D019A" w:rsidRPr="00D47F3C" w:rsidRDefault="000D019A" w:rsidP="000D019A">
      <w:pPr>
        <w:ind w:right="51"/>
        <w:jc w:val="center"/>
        <w:rPr>
          <w:rFonts w:ascii="Arial" w:hAnsi="Arial" w:cs="Arial"/>
          <w:b/>
          <w:color w:val="000000" w:themeColor="text1"/>
          <w:sz w:val="32"/>
          <w:szCs w:val="32"/>
        </w:rPr>
      </w:pPr>
    </w:p>
    <w:p w14:paraId="7265EDA8" w14:textId="77777777" w:rsidR="000D019A" w:rsidRPr="007F03BF" w:rsidRDefault="000D019A" w:rsidP="000D019A">
      <w:pPr>
        <w:ind w:right="51"/>
        <w:jc w:val="center"/>
        <w:rPr>
          <w:rFonts w:ascii="Arial" w:hAnsi="Arial" w:cs="Arial"/>
          <w:b/>
          <w:sz w:val="32"/>
          <w:szCs w:val="32"/>
        </w:rPr>
      </w:pPr>
      <w:r w:rsidRPr="007F03BF">
        <w:rPr>
          <w:rFonts w:ascii="Arial" w:hAnsi="Arial" w:cs="Arial"/>
          <w:b/>
          <w:color w:val="000000" w:themeColor="text1"/>
          <w:sz w:val="32"/>
          <w:szCs w:val="32"/>
        </w:rPr>
        <w:t>INFORME DE RESULTADOS DE</w:t>
      </w:r>
      <w:r w:rsidRPr="007F03BF">
        <w:rPr>
          <w:rFonts w:ascii="Arial" w:hAnsi="Arial" w:cs="Arial"/>
          <w:b/>
          <w:sz w:val="32"/>
          <w:szCs w:val="32"/>
        </w:rPr>
        <w:t xml:space="preserve"> LA </w:t>
      </w:r>
      <w:r w:rsidR="00AF024A" w:rsidRPr="007F03BF">
        <w:rPr>
          <w:rFonts w:ascii="Arial" w:hAnsi="Arial" w:cs="Arial"/>
          <w:b/>
          <w:sz w:val="32"/>
          <w:szCs w:val="32"/>
        </w:rPr>
        <w:t xml:space="preserve">PRIMERA </w:t>
      </w:r>
      <w:r w:rsidRPr="007F03BF">
        <w:rPr>
          <w:rFonts w:ascii="Arial" w:hAnsi="Arial" w:cs="Arial"/>
          <w:b/>
          <w:sz w:val="32"/>
          <w:szCs w:val="32"/>
        </w:rPr>
        <w:t xml:space="preserve">EVALUACIÓN VINCULANTE DOS MIL </w:t>
      </w:r>
      <w:r w:rsidR="00AF024A" w:rsidRPr="007F03BF">
        <w:rPr>
          <w:rFonts w:ascii="Arial" w:hAnsi="Arial" w:cs="Arial"/>
          <w:b/>
          <w:sz w:val="32"/>
          <w:szCs w:val="32"/>
        </w:rPr>
        <w:t>VEINTE</w:t>
      </w:r>
      <w:r w:rsidRPr="007F03BF">
        <w:rPr>
          <w:rFonts w:ascii="Arial" w:hAnsi="Arial" w:cs="Arial"/>
          <w:b/>
          <w:sz w:val="32"/>
          <w:szCs w:val="32"/>
        </w:rPr>
        <w:t xml:space="preserve">, RESPECTO DE LAS RECOMENDACIONES Y OBSERVACIONES EMITIDAS EN LA </w:t>
      </w:r>
      <w:r w:rsidR="00D61671" w:rsidRPr="007F03BF">
        <w:rPr>
          <w:rFonts w:ascii="Arial" w:hAnsi="Arial" w:cs="Arial"/>
          <w:b/>
          <w:sz w:val="32"/>
          <w:szCs w:val="32"/>
        </w:rPr>
        <w:t>SEGUNDA</w:t>
      </w:r>
      <w:r w:rsidRPr="007F03BF">
        <w:rPr>
          <w:rFonts w:ascii="Arial" w:hAnsi="Arial" w:cs="Arial"/>
          <w:b/>
          <w:sz w:val="32"/>
          <w:szCs w:val="32"/>
        </w:rPr>
        <w:t xml:space="preserve"> EVALUACIÓN VINCULANTE DOS MIL DIECINUEVE</w:t>
      </w:r>
    </w:p>
    <w:p w14:paraId="4B5B43FC" w14:textId="77777777" w:rsidR="000D019A" w:rsidRPr="007F03BF" w:rsidRDefault="000D019A" w:rsidP="000D019A">
      <w:pPr>
        <w:ind w:right="51"/>
        <w:jc w:val="center"/>
        <w:rPr>
          <w:rFonts w:ascii="Arial" w:hAnsi="Arial" w:cs="Arial"/>
          <w:b/>
          <w:sz w:val="32"/>
          <w:szCs w:val="32"/>
        </w:rPr>
      </w:pPr>
    </w:p>
    <w:p w14:paraId="074C016D" w14:textId="77777777" w:rsidR="000D019A" w:rsidRPr="007F03BF" w:rsidRDefault="000D019A" w:rsidP="000D019A">
      <w:pPr>
        <w:ind w:right="51"/>
        <w:jc w:val="right"/>
        <w:rPr>
          <w:rFonts w:ascii="Arial" w:hAnsi="Arial" w:cs="Arial"/>
          <w:b/>
          <w:sz w:val="32"/>
          <w:szCs w:val="32"/>
        </w:rPr>
      </w:pPr>
    </w:p>
    <w:p w14:paraId="09DF7523" w14:textId="77777777" w:rsidR="000D019A" w:rsidRPr="007F03BF" w:rsidRDefault="000D019A" w:rsidP="000D019A">
      <w:pPr>
        <w:ind w:right="51"/>
        <w:jc w:val="right"/>
        <w:rPr>
          <w:rFonts w:ascii="Arial" w:hAnsi="Arial" w:cs="Arial"/>
          <w:b/>
          <w:sz w:val="32"/>
          <w:szCs w:val="32"/>
        </w:rPr>
      </w:pPr>
    </w:p>
    <w:p w14:paraId="5C9D7E94" w14:textId="77777777" w:rsidR="000D019A" w:rsidRPr="007F03BF" w:rsidRDefault="000D019A" w:rsidP="000D019A">
      <w:pPr>
        <w:ind w:right="51"/>
        <w:jc w:val="right"/>
        <w:rPr>
          <w:rFonts w:ascii="Arial" w:hAnsi="Arial" w:cs="Arial"/>
          <w:b/>
          <w:sz w:val="32"/>
          <w:szCs w:val="32"/>
        </w:rPr>
      </w:pPr>
    </w:p>
    <w:p w14:paraId="210DDCD1" w14:textId="77777777" w:rsidR="000D019A" w:rsidRPr="007F03BF" w:rsidRDefault="000D019A" w:rsidP="000D019A">
      <w:pPr>
        <w:ind w:right="51"/>
        <w:jc w:val="right"/>
        <w:rPr>
          <w:rFonts w:ascii="Arial" w:hAnsi="Arial" w:cs="Arial"/>
          <w:b/>
          <w:sz w:val="32"/>
          <w:szCs w:val="32"/>
        </w:rPr>
      </w:pPr>
    </w:p>
    <w:p w14:paraId="2BDD0ABB" w14:textId="77777777" w:rsidR="000D019A" w:rsidRPr="007F03BF" w:rsidRDefault="000D019A" w:rsidP="000D019A">
      <w:pPr>
        <w:ind w:right="51"/>
        <w:jc w:val="right"/>
        <w:rPr>
          <w:rFonts w:ascii="Arial" w:hAnsi="Arial" w:cs="Arial"/>
          <w:b/>
          <w:sz w:val="32"/>
          <w:szCs w:val="32"/>
        </w:rPr>
      </w:pPr>
    </w:p>
    <w:p w14:paraId="59F16260" w14:textId="77777777" w:rsidR="000D019A" w:rsidRPr="007F03BF" w:rsidRDefault="000D019A" w:rsidP="000D019A">
      <w:pPr>
        <w:ind w:right="51"/>
        <w:jc w:val="right"/>
        <w:rPr>
          <w:rFonts w:ascii="Arial" w:hAnsi="Arial" w:cs="Arial"/>
          <w:b/>
          <w:sz w:val="32"/>
          <w:szCs w:val="32"/>
        </w:rPr>
      </w:pPr>
    </w:p>
    <w:p w14:paraId="1C57F0CB" w14:textId="77777777" w:rsidR="000D019A" w:rsidRPr="007F03BF" w:rsidRDefault="000D019A" w:rsidP="000D019A">
      <w:pPr>
        <w:ind w:right="51"/>
        <w:jc w:val="right"/>
        <w:rPr>
          <w:rFonts w:ascii="Arial" w:hAnsi="Arial" w:cs="Arial"/>
          <w:b/>
          <w:sz w:val="32"/>
          <w:szCs w:val="32"/>
        </w:rPr>
      </w:pPr>
    </w:p>
    <w:p w14:paraId="74BD4F25" w14:textId="77777777" w:rsidR="000D019A" w:rsidRPr="007F03BF" w:rsidRDefault="000D019A" w:rsidP="000D019A">
      <w:pPr>
        <w:ind w:right="51"/>
        <w:jc w:val="right"/>
        <w:rPr>
          <w:rFonts w:ascii="Arial" w:hAnsi="Arial" w:cs="Arial"/>
          <w:b/>
          <w:sz w:val="32"/>
          <w:szCs w:val="32"/>
        </w:rPr>
      </w:pPr>
    </w:p>
    <w:p w14:paraId="1D922F83" w14:textId="77777777" w:rsidR="000D019A" w:rsidRPr="007F03BF" w:rsidRDefault="000D019A" w:rsidP="000D019A">
      <w:pPr>
        <w:ind w:right="51"/>
        <w:jc w:val="right"/>
        <w:rPr>
          <w:rFonts w:ascii="Arial" w:hAnsi="Arial" w:cs="Arial"/>
          <w:b/>
          <w:sz w:val="32"/>
          <w:szCs w:val="32"/>
        </w:rPr>
      </w:pPr>
    </w:p>
    <w:p w14:paraId="0C356BD1" w14:textId="77777777" w:rsidR="000D019A" w:rsidRPr="007F03BF" w:rsidRDefault="0056401D" w:rsidP="000D019A">
      <w:pPr>
        <w:ind w:right="51"/>
        <w:jc w:val="right"/>
        <w:rPr>
          <w:rFonts w:ascii="Arial" w:hAnsi="Arial" w:cs="Arial"/>
          <w:b/>
        </w:rPr>
      </w:pPr>
      <w:r w:rsidRPr="007F03BF">
        <w:rPr>
          <w:rFonts w:ascii="Arial" w:hAnsi="Arial" w:cs="Arial"/>
          <w:b/>
          <w:sz w:val="32"/>
          <w:szCs w:val="32"/>
        </w:rPr>
        <w:t>23</w:t>
      </w:r>
      <w:r w:rsidR="000D019A" w:rsidRPr="007F03BF">
        <w:rPr>
          <w:rFonts w:ascii="Arial" w:hAnsi="Arial" w:cs="Arial"/>
          <w:b/>
          <w:sz w:val="32"/>
          <w:szCs w:val="32"/>
        </w:rPr>
        <w:t xml:space="preserve"> de </w:t>
      </w:r>
      <w:r w:rsidRPr="007F03BF">
        <w:rPr>
          <w:rFonts w:ascii="Arial" w:hAnsi="Arial" w:cs="Arial"/>
          <w:b/>
          <w:sz w:val="32"/>
          <w:szCs w:val="32"/>
        </w:rPr>
        <w:t>marzo</w:t>
      </w:r>
      <w:r w:rsidR="000D019A" w:rsidRPr="007F03BF">
        <w:rPr>
          <w:rFonts w:ascii="Arial" w:hAnsi="Arial" w:cs="Arial"/>
          <w:b/>
          <w:sz w:val="32"/>
          <w:szCs w:val="32"/>
        </w:rPr>
        <w:t xml:space="preserve"> de 20</w:t>
      </w:r>
      <w:r w:rsidR="00D61671" w:rsidRPr="007F03BF">
        <w:rPr>
          <w:rFonts w:ascii="Arial" w:hAnsi="Arial" w:cs="Arial"/>
          <w:b/>
          <w:sz w:val="32"/>
          <w:szCs w:val="32"/>
        </w:rPr>
        <w:t>20</w:t>
      </w:r>
    </w:p>
    <w:p w14:paraId="7875DF61" w14:textId="77777777" w:rsidR="000D019A" w:rsidRPr="007F03BF" w:rsidRDefault="000D019A">
      <w:pPr>
        <w:rPr>
          <w:rFonts w:ascii="Arial" w:eastAsiaTheme="majorEastAsia" w:hAnsi="Arial" w:cs="Arial"/>
          <w:b/>
          <w:color w:val="000000" w:themeColor="text1"/>
          <w:lang w:eastAsia="en-US"/>
        </w:rPr>
      </w:pPr>
    </w:p>
    <w:p w14:paraId="5D077DC1" w14:textId="77777777" w:rsidR="000D019A" w:rsidRPr="007F03BF" w:rsidRDefault="000D019A">
      <w:pPr>
        <w:rPr>
          <w:rFonts w:ascii="Arial" w:eastAsiaTheme="majorEastAsia" w:hAnsi="Arial" w:cs="Arial"/>
          <w:b/>
          <w:color w:val="000000" w:themeColor="text1"/>
          <w:lang w:eastAsia="en-US"/>
        </w:rPr>
      </w:pPr>
      <w:r w:rsidRPr="007F03BF">
        <w:rPr>
          <w:rFonts w:ascii="Arial" w:hAnsi="Arial" w:cs="Arial"/>
          <w:b/>
          <w:color w:val="000000" w:themeColor="text1"/>
        </w:rPr>
        <w:br w:type="page"/>
      </w:r>
    </w:p>
    <w:sdt>
      <w:sdtPr>
        <w:rPr>
          <w:rFonts w:ascii="Times New Roman" w:eastAsia="Times New Roman" w:hAnsi="Times New Roman" w:cs="Times New Roman"/>
          <w:b w:val="0"/>
          <w:bCs w:val="0"/>
          <w:color w:val="auto"/>
          <w:sz w:val="22"/>
          <w:szCs w:val="22"/>
          <w:lang w:val="es-ES"/>
        </w:rPr>
        <w:id w:val="2112705382"/>
        <w:docPartObj>
          <w:docPartGallery w:val="Table of Contents"/>
          <w:docPartUnique/>
        </w:docPartObj>
      </w:sdtPr>
      <w:sdtEndPr>
        <w:rPr>
          <w:sz w:val="24"/>
          <w:szCs w:val="24"/>
        </w:rPr>
      </w:sdtEndPr>
      <w:sdtContent>
        <w:p w14:paraId="03703626" w14:textId="77777777" w:rsidR="000D019A" w:rsidRPr="007F03BF" w:rsidRDefault="00EB2611" w:rsidP="00EB2611">
          <w:pPr>
            <w:pStyle w:val="TtuloTDC"/>
            <w:jc w:val="center"/>
            <w:rPr>
              <w:rFonts w:ascii="Arial" w:hAnsi="Arial" w:cs="Arial"/>
              <w:color w:val="000000" w:themeColor="text1"/>
              <w:sz w:val="22"/>
              <w:szCs w:val="22"/>
              <w:lang w:val="es-ES"/>
            </w:rPr>
          </w:pPr>
          <w:r w:rsidRPr="007F03BF">
            <w:rPr>
              <w:rFonts w:ascii="Arial" w:hAnsi="Arial" w:cs="Arial"/>
              <w:color w:val="000000" w:themeColor="text1"/>
              <w:sz w:val="22"/>
              <w:szCs w:val="22"/>
              <w:lang w:val="es-ES"/>
            </w:rPr>
            <w:t>ÍNDICE</w:t>
          </w:r>
        </w:p>
        <w:p w14:paraId="1FAD5C50" w14:textId="4195B9F6" w:rsidR="007F03BF" w:rsidRDefault="000D019A">
          <w:pPr>
            <w:pStyle w:val="TDC1"/>
            <w:tabs>
              <w:tab w:val="right" w:leader="dot" w:pos="8828"/>
            </w:tabs>
            <w:rPr>
              <w:rFonts w:eastAsiaTheme="minorEastAsia" w:cstheme="minorBidi"/>
              <w:b w:val="0"/>
              <w:bCs w:val="0"/>
              <w:i w:val="0"/>
              <w:iCs w:val="0"/>
              <w:noProof/>
              <w:lang w:val="es-MX"/>
            </w:rPr>
          </w:pPr>
          <w:r w:rsidRPr="007F03BF">
            <w:rPr>
              <w:rFonts w:ascii="Arial" w:hAnsi="Arial" w:cs="Arial"/>
              <w:b w:val="0"/>
              <w:bCs w:val="0"/>
              <w:sz w:val="22"/>
              <w:szCs w:val="22"/>
            </w:rPr>
            <w:fldChar w:fldCharType="begin"/>
          </w:r>
          <w:r w:rsidRPr="007F03BF">
            <w:rPr>
              <w:rFonts w:ascii="Arial" w:hAnsi="Arial" w:cs="Arial"/>
              <w:sz w:val="22"/>
              <w:szCs w:val="22"/>
            </w:rPr>
            <w:instrText>TOC \o "1-3" \h \z \u</w:instrText>
          </w:r>
          <w:r w:rsidRPr="007F03BF">
            <w:rPr>
              <w:rFonts w:ascii="Arial" w:hAnsi="Arial" w:cs="Arial"/>
              <w:b w:val="0"/>
              <w:bCs w:val="0"/>
              <w:sz w:val="22"/>
              <w:szCs w:val="22"/>
            </w:rPr>
            <w:fldChar w:fldCharType="separate"/>
          </w:r>
          <w:hyperlink w:anchor="_Toc39683987" w:history="1">
            <w:r w:rsidR="007F03BF" w:rsidRPr="00DA2F9F">
              <w:rPr>
                <w:rStyle w:val="Hipervnculo"/>
                <w:rFonts w:ascii="Arial" w:hAnsi="Arial" w:cs="Arial"/>
                <w:noProof/>
              </w:rPr>
              <w:t>INTRODUCCIÓN</w:t>
            </w:r>
            <w:r w:rsidR="007F03BF">
              <w:rPr>
                <w:noProof/>
                <w:webHidden/>
              </w:rPr>
              <w:tab/>
            </w:r>
            <w:r w:rsidR="007F03BF">
              <w:rPr>
                <w:noProof/>
                <w:webHidden/>
              </w:rPr>
              <w:fldChar w:fldCharType="begin"/>
            </w:r>
            <w:r w:rsidR="007F03BF">
              <w:rPr>
                <w:noProof/>
                <w:webHidden/>
              </w:rPr>
              <w:instrText xml:space="preserve"> PAGEREF _Toc39683987 \h </w:instrText>
            </w:r>
            <w:r w:rsidR="007F03BF">
              <w:rPr>
                <w:noProof/>
                <w:webHidden/>
              </w:rPr>
            </w:r>
            <w:r w:rsidR="007F03BF">
              <w:rPr>
                <w:noProof/>
                <w:webHidden/>
              </w:rPr>
              <w:fldChar w:fldCharType="separate"/>
            </w:r>
            <w:r w:rsidR="007F03BF">
              <w:rPr>
                <w:noProof/>
                <w:webHidden/>
              </w:rPr>
              <w:t>2</w:t>
            </w:r>
            <w:r w:rsidR="007F03BF">
              <w:rPr>
                <w:noProof/>
                <w:webHidden/>
              </w:rPr>
              <w:fldChar w:fldCharType="end"/>
            </w:r>
          </w:hyperlink>
        </w:p>
        <w:p w14:paraId="58BB3CFB" w14:textId="6FF25070" w:rsidR="007F03BF" w:rsidRDefault="007F03BF">
          <w:pPr>
            <w:pStyle w:val="TDC1"/>
            <w:tabs>
              <w:tab w:val="right" w:leader="dot" w:pos="8828"/>
            </w:tabs>
            <w:rPr>
              <w:rFonts w:eastAsiaTheme="minorEastAsia" w:cstheme="minorBidi"/>
              <w:b w:val="0"/>
              <w:bCs w:val="0"/>
              <w:i w:val="0"/>
              <w:iCs w:val="0"/>
              <w:noProof/>
              <w:lang w:val="es-MX"/>
            </w:rPr>
          </w:pPr>
          <w:hyperlink w:anchor="_Toc39683988" w:history="1">
            <w:r w:rsidRPr="00DA2F9F">
              <w:rPr>
                <w:rStyle w:val="Hipervnculo"/>
                <w:rFonts w:ascii="Arial" w:hAnsi="Arial" w:cs="Arial"/>
                <w:noProof/>
              </w:rPr>
              <w:t>ANTECEDENTES</w:t>
            </w:r>
            <w:r>
              <w:rPr>
                <w:noProof/>
                <w:webHidden/>
              </w:rPr>
              <w:tab/>
            </w:r>
            <w:r>
              <w:rPr>
                <w:noProof/>
                <w:webHidden/>
              </w:rPr>
              <w:fldChar w:fldCharType="begin"/>
            </w:r>
            <w:r>
              <w:rPr>
                <w:noProof/>
                <w:webHidden/>
              </w:rPr>
              <w:instrText xml:space="preserve"> PAGEREF _Toc39683988 \h </w:instrText>
            </w:r>
            <w:r>
              <w:rPr>
                <w:noProof/>
                <w:webHidden/>
              </w:rPr>
            </w:r>
            <w:r>
              <w:rPr>
                <w:noProof/>
                <w:webHidden/>
              </w:rPr>
              <w:fldChar w:fldCharType="separate"/>
            </w:r>
            <w:r>
              <w:rPr>
                <w:noProof/>
                <w:webHidden/>
              </w:rPr>
              <w:t>6</w:t>
            </w:r>
            <w:r>
              <w:rPr>
                <w:noProof/>
                <w:webHidden/>
              </w:rPr>
              <w:fldChar w:fldCharType="end"/>
            </w:r>
          </w:hyperlink>
        </w:p>
        <w:p w14:paraId="221F53CF" w14:textId="65110359" w:rsidR="007F03BF" w:rsidRDefault="007F03BF">
          <w:pPr>
            <w:pStyle w:val="TDC1"/>
            <w:tabs>
              <w:tab w:val="right" w:leader="dot" w:pos="8828"/>
            </w:tabs>
            <w:rPr>
              <w:rFonts w:eastAsiaTheme="minorEastAsia" w:cstheme="minorBidi"/>
              <w:b w:val="0"/>
              <w:bCs w:val="0"/>
              <w:i w:val="0"/>
              <w:iCs w:val="0"/>
              <w:noProof/>
              <w:lang w:val="es-MX"/>
            </w:rPr>
          </w:pPr>
          <w:hyperlink w:anchor="_Toc39683989" w:history="1">
            <w:r w:rsidRPr="00DA2F9F">
              <w:rPr>
                <w:rStyle w:val="Hipervnculo"/>
                <w:rFonts w:ascii="Arial" w:hAnsi="Arial" w:cs="Arial"/>
                <w:noProof/>
              </w:rPr>
              <w:t>METODOLOGÍA</w:t>
            </w:r>
            <w:r>
              <w:rPr>
                <w:noProof/>
                <w:webHidden/>
              </w:rPr>
              <w:tab/>
            </w:r>
            <w:r>
              <w:rPr>
                <w:noProof/>
                <w:webHidden/>
              </w:rPr>
              <w:fldChar w:fldCharType="begin"/>
            </w:r>
            <w:r>
              <w:rPr>
                <w:noProof/>
                <w:webHidden/>
              </w:rPr>
              <w:instrText xml:space="preserve"> PAGEREF _Toc39683989 \h </w:instrText>
            </w:r>
            <w:r>
              <w:rPr>
                <w:noProof/>
                <w:webHidden/>
              </w:rPr>
            </w:r>
            <w:r>
              <w:rPr>
                <w:noProof/>
                <w:webHidden/>
              </w:rPr>
              <w:fldChar w:fldCharType="separate"/>
            </w:r>
            <w:r>
              <w:rPr>
                <w:noProof/>
                <w:webHidden/>
              </w:rPr>
              <w:t>13</w:t>
            </w:r>
            <w:r>
              <w:rPr>
                <w:noProof/>
                <w:webHidden/>
              </w:rPr>
              <w:fldChar w:fldCharType="end"/>
            </w:r>
          </w:hyperlink>
        </w:p>
        <w:p w14:paraId="26DEF1E2" w14:textId="49D69C20" w:rsidR="007F03BF" w:rsidRDefault="007F03BF">
          <w:pPr>
            <w:pStyle w:val="TDC1"/>
            <w:tabs>
              <w:tab w:val="right" w:leader="dot" w:pos="8828"/>
            </w:tabs>
            <w:rPr>
              <w:rFonts w:eastAsiaTheme="minorEastAsia" w:cstheme="minorBidi"/>
              <w:b w:val="0"/>
              <w:bCs w:val="0"/>
              <w:i w:val="0"/>
              <w:iCs w:val="0"/>
              <w:noProof/>
              <w:lang w:val="es-MX"/>
            </w:rPr>
          </w:pPr>
          <w:hyperlink w:anchor="_Toc39683990" w:history="1">
            <w:r w:rsidRPr="00DA2F9F">
              <w:rPr>
                <w:rStyle w:val="Hipervnculo"/>
                <w:rFonts w:ascii="Arial" w:hAnsi="Arial" w:cs="Arial"/>
                <w:noProof/>
              </w:rPr>
              <w:t>RESULTADO GLOBALES DE LA PRIMERA EVALUACIÓN VINCULANTE 2020</w:t>
            </w:r>
            <w:r>
              <w:rPr>
                <w:noProof/>
                <w:webHidden/>
              </w:rPr>
              <w:tab/>
            </w:r>
            <w:r>
              <w:rPr>
                <w:noProof/>
                <w:webHidden/>
              </w:rPr>
              <w:fldChar w:fldCharType="begin"/>
            </w:r>
            <w:r>
              <w:rPr>
                <w:noProof/>
                <w:webHidden/>
              </w:rPr>
              <w:instrText xml:space="preserve"> PAGEREF _Toc39683990 \h </w:instrText>
            </w:r>
            <w:r>
              <w:rPr>
                <w:noProof/>
                <w:webHidden/>
              </w:rPr>
            </w:r>
            <w:r>
              <w:rPr>
                <w:noProof/>
                <w:webHidden/>
              </w:rPr>
              <w:fldChar w:fldCharType="separate"/>
            </w:r>
            <w:r>
              <w:rPr>
                <w:noProof/>
                <w:webHidden/>
              </w:rPr>
              <w:t>16</w:t>
            </w:r>
            <w:r>
              <w:rPr>
                <w:noProof/>
                <w:webHidden/>
              </w:rPr>
              <w:fldChar w:fldCharType="end"/>
            </w:r>
          </w:hyperlink>
        </w:p>
        <w:p w14:paraId="51F24218" w14:textId="47CB1BC9" w:rsidR="007F03BF" w:rsidRDefault="007F03BF">
          <w:pPr>
            <w:pStyle w:val="TDC1"/>
            <w:tabs>
              <w:tab w:val="right" w:leader="dot" w:pos="8828"/>
            </w:tabs>
            <w:rPr>
              <w:rFonts w:eastAsiaTheme="minorEastAsia" w:cstheme="minorBidi"/>
              <w:b w:val="0"/>
              <w:bCs w:val="0"/>
              <w:i w:val="0"/>
              <w:iCs w:val="0"/>
              <w:noProof/>
              <w:lang w:val="es-MX"/>
            </w:rPr>
          </w:pPr>
          <w:hyperlink w:anchor="_Toc39683991" w:history="1">
            <w:r w:rsidRPr="00DA2F9F">
              <w:rPr>
                <w:rStyle w:val="Hipervnculo"/>
                <w:rFonts w:ascii="Arial" w:hAnsi="Arial" w:cs="Arial"/>
                <w:noProof/>
              </w:rPr>
              <w:t>SÍNTESIS DE LOS ARTÍCULOS DE LAS OBLIGACIONES DE TRANSPARENCIA ANALIZADOS</w:t>
            </w:r>
            <w:r>
              <w:rPr>
                <w:noProof/>
                <w:webHidden/>
              </w:rPr>
              <w:tab/>
            </w:r>
            <w:r>
              <w:rPr>
                <w:noProof/>
                <w:webHidden/>
              </w:rPr>
              <w:fldChar w:fldCharType="begin"/>
            </w:r>
            <w:r>
              <w:rPr>
                <w:noProof/>
                <w:webHidden/>
              </w:rPr>
              <w:instrText xml:space="preserve"> PAGEREF _Toc39683991 \h </w:instrText>
            </w:r>
            <w:r>
              <w:rPr>
                <w:noProof/>
                <w:webHidden/>
              </w:rPr>
            </w:r>
            <w:r>
              <w:rPr>
                <w:noProof/>
                <w:webHidden/>
              </w:rPr>
              <w:fldChar w:fldCharType="separate"/>
            </w:r>
            <w:r>
              <w:rPr>
                <w:noProof/>
                <w:webHidden/>
              </w:rPr>
              <w:t>19</w:t>
            </w:r>
            <w:r>
              <w:rPr>
                <w:noProof/>
                <w:webHidden/>
              </w:rPr>
              <w:fldChar w:fldCharType="end"/>
            </w:r>
          </w:hyperlink>
        </w:p>
        <w:p w14:paraId="55DE6823" w14:textId="6D1F127C" w:rsidR="007F03BF" w:rsidRDefault="007F03BF">
          <w:pPr>
            <w:pStyle w:val="TDC2"/>
            <w:tabs>
              <w:tab w:val="right" w:leader="dot" w:pos="8828"/>
            </w:tabs>
            <w:rPr>
              <w:rFonts w:eastAsiaTheme="minorEastAsia" w:cstheme="minorBidi"/>
              <w:b w:val="0"/>
              <w:bCs w:val="0"/>
              <w:noProof/>
              <w:sz w:val="24"/>
              <w:szCs w:val="24"/>
              <w:lang w:val="es-MX"/>
            </w:rPr>
          </w:pPr>
          <w:hyperlink w:anchor="_Toc39683992" w:history="1">
            <w:r w:rsidRPr="00DA2F9F">
              <w:rPr>
                <w:rStyle w:val="Hipervnculo"/>
                <w:rFonts w:ascii="Arial" w:hAnsi="Arial" w:cs="Arial"/>
                <w:noProof/>
              </w:rPr>
              <w:t>Obligaciones Comunes de la Ley local de Transparencia</w:t>
            </w:r>
            <w:r>
              <w:rPr>
                <w:noProof/>
                <w:webHidden/>
              </w:rPr>
              <w:tab/>
            </w:r>
            <w:r>
              <w:rPr>
                <w:noProof/>
                <w:webHidden/>
              </w:rPr>
              <w:fldChar w:fldCharType="begin"/>
            </w:r>
            <w:r>
              <w:rPr>
                <w:noProof/>
                <w:webHidden/>
              </w:rPr>
              <w:instrText xml:space="preserve"> PAGEREF _Toc39683992 \h </w:instrText>
            </w:r>
            <w:r>
              <w:rPr>
                <w:noProof/>
                <w:webHidden/>
              </w:rPr>
            </w:r>
            <w:r>
              <w:rPr>
                <w:noProof/>
                <w:webHidden/>
              </w:rPr>
              <w:fldChar w:fldCharType="separate"/>
            </w:r>
            <w:r>
              <w:rPr>
                <w:noProof/>
                <w:webHidden/>
              </w:rPr>
              <w:t>19</w:t>
            </w:r>
            <w:r>
              <w:rPr>
                <w:noProof/>
                <w:webHidden/>
              </w:rPr>
              <w:fldChar w:fldCharType="end"/>
            </w:r>
          </w:hyperlink>
        </w:p>
        <w:p w14:paraId="504DE340" w14:textId="64BBE42B" w:rsidR="007F03BF" w:rsidRDefault="007F03BF">
          <w:pPr>
            <w:pStyle w:val="TDC2"/>
            <w:tabs>
              <w:tab w:val="right" w:leader="dot" w:pos="8828"/>
            </w:tabs>
            <w:rPr>
              <w:rFonts w:eastAsiaTheme="minorEastAsia" w:cstheme="minorBidi"/>
              <w:b w:val="0"/>
              <w:bCs w:val="0"/>
              <w:noProof/>
              <w:sz w:val="24"/>
              <w:szCs w:val="24"/>
              <w:lang w:val="es-MX"/>
            </w:rPr>
          </w:pPr>
          <w:hyperlink w:anchor="_Toc39683993" w:history="1">
            <w:r w:rsidRPr="00DA2F9F">
              <w:rPr>
                <w:rStyle w:val="Hipervnculo"/>
                <w:rFonts w:ascii="Arial" w:hAnsi="Arial" w:cs="Arial"/>
                <w:noProof/>
              </w:rPr>
              <w:t>Obligaciones Específicas de la Ley local de Transparencia</w:t>
            </w:r>
            <w:r>
              <w:rPr>
                <w:noProof/>
                <w:webHidden/>
              </w:rPr>
              <w:tab/>
            </w:r>
            <w:r>
              <w:rPr>
                <w:noProof/>
                <w:webHidden/>
              </w:rPr>
              <w:fldChar w:fldCharType="begin"/>
            </w:r>
            <w:r>
              <w:rPr>
                <w:noProof/>
                <w:webHidden/>
              </w:rPr>
              <w:instrText xml:space="preserve"> PAGEREF _Toc39683993 \h </w:instrText>
            </w:r>
            <w:r>
              <w:rPr>
                <w:noProof/>
                <w:webHidden/>
              </w:rPr>
            </w:r>
            <w:r>
              <w:rPr>
                <w:noProof/>
                <w:webHidden/>
              </w:rPr>
              <w:fldChar w:fldCharType="separate"/>
            </w:r>
            <w:r>
              <w:rPr>
                <w:noProof/>
                <w:webHidden/>
              </w:rPr>
              <w:t>19</w:t>
            </w:r>
            <w:r>
              <w:rPr>
                <w:noProof/>
                <w:webHidden/>
              </w:rPr>
              <w:fldChar w:fldCharType="end"/>
            </w:r>
          </w:hyperlink>
        </w:p>
        <w:p w14:paraId="5713F49A" w14:textId="01E6C98C" w:rsidR="007F03BF" w:rsidRDefault="007F03BF">
          <w:pPr>
            <w:pStyle w:val="TDC2"/>
            <w:tabs>
              <w:tab w:val="right" w:leader="dot" w:pos="8828"/>
            </w:tabs>
            <w:rPr>
              <w:rFonts w:eastAsiaTheme="minorEastAsia" w:cstheme="minorBidi"/>
              <w:b w:val="0"/>
              <w:bCs w:val="0"/>
              <w:noProof/>
              <w:sz w:val="24"/>
              <w:szCs w:val="24"/>
              <w:lang w:val="es-MX"/>
            </w:rPr>
          </w:pPr>
          <w:hyperlink w:anchor="_Toc39683994" w:history="1">
            <w:r w:rsidRPr="00DA2F9F">
              <w:rPr>
                <w:rStyle w:val="Hipervnculo"/>
                <w:rFonts w:ascii="Arial" w:hAnsi="Arial" w:cs="Arial"/>
                <w:noProof/>
              </w:rPr>
              <w:t>Disposiciones Particulares de la Ley local de Transparencia</w:t>
            </w:r>
            <w:r>
              <w:rPr>
                <w:noProof/>
                <w:webHidden/>
              </w:rPr>
              <w:tab/>
            </w:r>
            <w:r>
              <w:rPr>
                <w:noProof/>
                <w:webHidden/>
              </w:rPr>
              <w:fldChar w:fldCharType="begin"/>
            </w:r>
            <w:r>
              <w:rPr>
                <w:noProof/>
                <w:webHidden/>
              </w:rPr>
              <w:instrText xml:space="preserve"> PAGEREF _Toc39683994 \h </w:instrText>
            </w:r>
            <w:r>
              <w:rPr>
                <w:noProof/>
                <w:webHidden/>
              </w:rPr>
            </w:r>
            <w:r>
              <w:rPr>
                <w:noProof/>
                <w:webHidden/>
              </w:rPr>
              <w:fldChar w:fldCharType="separate"/>
            </w:r>
            <w:r>
              <w:rPr>
                <w:noProof/>
                <w:webHidden/>
              </w:rPr>
              <w:t>24</w:t>
            </w:r>
            <w:r>
              <w:rPr>
                <w:noProof/>
                <w:webHidden/>
              </w:rPr>
              <w:fldChar w:fldCharType="end"/>
            </w:r>
          </w:hyperlink>
        </w:p>
        <w:p w14:paraId="339B966E" w14:textId="4C3776BA" w:rsidR="007F03BF" w:rsidRDefault="007F03BF">
          <w:pPr>
            <w:pStyle w:val="TDC1"/>
            <w:tabs>
              <w:tab w:val="right" w:leader="dot" w:pos="8828"/>
            </w:tabs>
            <w:rPr>
              <w:rFonts w:eastAsiaTheme="minorEastAsia" w:cstheme="minorBidi"/>
              <w:b w:val="0"/>
              <w:bCs w:val="0"/>
              <w:i w:val="0"/>
              <w:iCs w:val="0"/>
              <w:noProof/>
              <w:lang w:val="es-MX"/>
            </w:rPr>
          </w:pPr>
          <w:hyperlink w:anchor="_Toc39683995" w:history="1">
            <w:r w:rsidRPr="00DA2F9F">
              <w:rPr>
                <w:rStyle w:val="Hipervnculo"/>
                <w:rFonts w:ascii="Arial" w:hAnsi="Arial" w:cs="Arial"/>
                <w:noProof/>
              </w:rPr>
              <w:t>PODER EJECUTIVO – ADMINISTRACIÓN CENTRAL</w:t>
            </w:r>
            <w:r>
              <w:rPr>
                <w:noProof/>
                <w:webHidden/>
              </w:rPr>
              <w:tab/>
            </w:r>
            <w:r>
              <w:rPr>
                <w:noProof/>
                <w:webHidden/>
              </w:rPr>
              <w:fldChar w:fldCharType="begin"/>
            </w:r>
            <w:r>
              <w:rPr>
                <w:noProof/>
                <w:webHidden/>
              </w:rPr>
              <w:instrText xml:space="preserve"> PAGEREF _Toc39683995 \h </w:instrText>
            </w:r>
            <w:r>
              <w:rPr>
                <w:noProof/>
                <w:webHidden/>
              </w:rPr>
            </w:r>
            <w:r>
              <w:rPr>
                <w:noProof/>
                <w:webHidden/>
              </w:rPr>
              <w:fldChar w:fldCharType="separate"/>
            </w:r>
            <w:r>
              <w:rPr>
                <w:noProof/>
                <w:webHidden/>
              </w:rPr>
              <w:t>26</w:t>
            </w:r>
            <w:r>
              <w:rPr>
                <w:noProof/>
                <w:webHidden/>
              </w:rPr>
              <w:fldChar w:fldCharType="end"/>
            </w:r>
          </w:hyperlink>
        </w:p>
        <w:p w14:paraId="72E6D5AC" w14:textId="0E9236A3" w:rsidR="007F03BF" w:rsidRDefault="007F03BF">
          <w:pPr>
            <w:pStyle w:val="TDC2"/>
            <w:tabs>
              <w:tab w:val="right" w:leader="dot" w:pos="8828"/>
            </w:tabs>
            <w:rPr>
              <w:rFonts w:eastAsiaTheme="minorEastAsia" w:cstheme="minorBidi"/>
              <w:b w:val="0"/>
              <w:bCs w:val="0"/>
              <w:noProof/>
              <w:sz w:val="24"/>
              <w:szCs w:val="24"/>
              <w:lang w:val="es-MX"/>
            </w:rPr>
          </w:pPr>
          <w:hyperlink w:anchor="_Toc39683996" w:history="1">
            <w:r w:rsidRPr="00DA2F9F">
              <w:rPr>
                <w:rStyle w:val="Hipervnculo"/>
                <w:rFonts w:ascii="Arial" w:hAnsi="Arial" w:cs="Arial"/>
                <w:noProof/>
              </w:rPr>
              <w:t>Análisis global de cumplimiento del Poder Ejecutivo – Administración Central</w:t>
            </w:r>
            <w:r>
              <w:rPr>
                <w:noProof/>
                <w:webHidden/>
              </w:rPr>
              <w:tab/>
            </w:r>
            <w:r>
              <w:rPr>
                <w:noProof/>
                <w:webHidden/>
              </w:rPr>
              <w:fldChar w:fldCharType="begin"/>
            </w:r>
            <w:r>
              <w:rPr>
                <w:noProof/>
                <w:webHidden/>
              </w:rPr>
              <w:instrText xml:space="preserve"> PAGEREF _Toc39683996 \h </w:instrText>
            </w:r>
            <w:r>
              <w:rPr>
                <w:noProof/>
                <w:webHidden/>
              </w:rPr>
            </w:r>
            <w:r>
              <w:rPr>
                <w:noProof/>
                <w:webHidden/>
              </w:rPr>
              <w:fldChar w:fldCharType="separate"/>
            </w:r>
            <w:r>
              <w:rPr>
                <w:noProof/>
                <w:webHidden/>
              </w:rPr>
              <w:t>27</w:t>
            </w:r>
            <w:r>
              <w:rPr>
                <w:noProof/>
                <w:webHidden/>
              </w:rPr>
              <w:fldChar w:fldCharType="end"/>
            </w:r>
          </w:hyperlink>
        </w:p>
        <w:p w14:paraId="1CA00DEA" w14:textId="554265CC" w:rsidR="007F03BF" w:rsidRDefault="007F03BF">
          <w:pPr>
            <w:pStyle w:val="TDC1"/>
            <w:tabs>
              <w:tab w:val="right" w:leader="dot" w:pos="8828"/>
            </w:tabs>
            <w:rPr>
              <w:rFonts w:eastAsiaTheme="minorEastAsia" w:cstheme="minorBidi"/>
              <w:b w:val="0"/>
              <w:bCs w:val="0"/>
              <w:i w:val="0"/>
              <w:iCs w:val="0"/>
              <w:noProof/>
              <w:lang w:val="es-MX"/>
            </w:rPr>
          </w:pPr>
          <w:hyperlink w:anchor="_Toc39683997" w:history="1">
            <w:r w:rsidRPr="00DA2F9F">
              <w:rPr>
                <w:rStyle w:val="Hipervnculo"/>
                <w:rFonts w:ascii="Arial" w:hAnsi="Arial" w:cs="Arial"/>
                <w:noProof/>
              </w:rPr>
              <w:t>PODER EJECUTIVO – ÓRGANOS DESCONCENTRADOS, FONDOS Y FIDEICOMISOS</w:t>
            </w:r>
            <w:r>
              <w:rPr>
                <w:noProof/>
                <w:webHidden/>
              </w:rPr>
              <w:tab/>
            </w:r>
            <w:r>
              <w:rPr>
                <w:noProof/>
                <w:webHidden/>
              </w:rPr>
              <w:fldChar w:fldCharType="begin"/>
            </w:r>
            <w:r>
              <w:rPr>
                <w:noProof/>
                <w:webHidden/>
              </w:rPr>
              <w:instrText xml:space="preserve"> PAGEREF _Toc39683997 \h </w:instrText>
            </w:r>
            <w:r>
              <w:rPr>
                <w:noProof/>
                <w:webHidden/>
              </w:rPr>
            </w:r>
            <w:r>
              <w:rPr>
                <w:noProof/>
                <w:webHidden/>
              </w:rPr>
              <w:fldChar w:fldCharType="separate"/>
            </w:r>
            <w:r>
              <w:rPr>
                <w:noProof/>
                <w:webHidden/>
              </w:rPr>
              <w:t>31</w:t>
            </w:r>
            <w:r>
              <w:rPr>
                <w:noProof/>
                <w:webHidden/>
              </w:rPr>
              <w:fldChar w:fldCharType="end"/>
            </w:r>
          </w:hyperlink>
        </w:p>
        <w:p w14:paraId="4342892C" w14:textId="55AB7E4B" w:rsidR="007F03BF" w:rsidRDefault="007F03BF">
          <w:pPr>
            <w:pStyle w:val="TDC2"/>
            <w:tabs>
              <w:tab w:val="right" w:leader="dot" w:pos="8828"/>
            </w:tabs>
            <w:rPr>
              <w:rFonts w:eastAsiaTheme="minorEastAsia" w:cstheme="minorBidi"/>
              <w:b w:val="0"/>
              <w:bCs w:val="0"/>
              <w:noProof/>
              <w:sz w:val="24"/>
              <w:szCs w:val="24"/>
              <w:lang w:val="es-MX"/>
            </w:rPr>
          </w:pPr>
          <w:hyperlink w:anchor="_Toc39683998" w:history="1">
            <w:r w:rsidRPr="00DA2F9F">
              <w:rPr>
                <w:rStyle w:val="Hipervnculo"/>
                <w:rFonts w:ascii="Arial" w:hAnsi="Arial" w:cs="Arial"/>
                <w:noProof/>
              </w:rPr>
              <w:t>Análisis global de cumplimiento del Poder Ejecutivo – Órganos Desconcentrados, Fondos y Fideicomisos</w:t>
            </w:r>
            <w:r>
              <w:rPr>
                <w:noProof/>
                <w:webHidden/>
              </w:rPr>
              <w:tab/>
            </w:r>
            <w:r>
              <w:rPr>
                <w:noProof/>
                <w:webHidden/>
              </w:rPr>
              <w:fldChar w:fldCharType="begin"/>
            </w:r>
            <w:r>
              <w:rPr>
                <w:noProof/>
                <w:webHidden/>
              </w:rPr>
              <w:instrText xml:space="preserve"> PAGEREF _Toc39683998 \h </w:instrText>
            </w:r>
            <w:r>
              <w:rPr>
                <w:noProof/>
                <w:webHidden/>
              </w:rPr>
            </w:r>
            <w:r>
              <w:rPr>
                <w:noProof/>
                <w:webHidden/>
              </w:rPr>
              <w:fldChar w:fldCharType="separate"/>
            </w:r>
            <w:r>
              <w:rPr>
                <w:noProof/>
                <w:webHidden/>
              </w:rPr>
              <w:t>33</w:t>
            </w:r>
            <w:r>
              <w:rPr>
                <w:noProof/>
                <w:webHidden/>
              </w:rPr>
              <w:fldChar w:fldCharType="end"/>
            </w:r>
          </w:hyperlink>
        </w:p>
        <w:p w14:paraId="6A953B8B" w14:textId="5B297809" w:rsidR="007F03BF" w:rsidRDefault="007F03BF">
          <w:pPr>
            <w:pStyle w:val="TDC1"/>
            <w:tabs>
              <w:tab w:val="right" w:leader="dot" w:pos="8828"/>
            </w:tabs>
            <w:rPr>
              <w:rFonts w:eastAsiaTheme="minorEastAsia" w:cstheme="minorBidi"/>
              <w:b w:val="0"/>
              <w:bCs w:val="0"/>
              <w:i w:val="0"/>
              <w:iCs w:val="0"/>
              <w:noProof/>
              <w:lang w:val="es-MX"/>
            </w:rPr>
          </w:pPr>
          <w:hyperlink w:anchor="_Toc39683999" w:history="1">
            <w:r w:rsidRPr="00DA2F9F">
              <w:rPr>
                <w:rStyle w:val="Hipervnculo"/>
                <w:rFonts w:ascii="Arial" w:hAnsi="Arial" w:cs="Arial"/>
                <w:noProof/>
              </w:rPr>
              <w:t>PODER EJECUTIVO – DEMARCACIONES TERRITORIALES</w:t>
            </w:r>
            <w:r>
              <w:rPr>
                <w:noProof/>
                <w:webHidden/>
              </w:rPr>
              <w:tab/>
            </w:r>
            <w:r>
              <w:rPr>
                <w:noProof/>
                <w:webHidden/>
              </w:rPr>
              <w:fldChar w:fldCharType="begin"/>
            </w:r>
            <w:r>
              <w:rPr>
                <w:noProof/>
                <w:webHidden/>
              </w:rPr>
              <w:instrText xml:space="preserve"> PAGEREF _Toc39683999 \h </w:instrText>
            </w:r>
            <w:r>
              <w:rPr>
                <w:noProof/>
                <w:webHidden/>
              </w:rPr>
            </w:r>
            <w:r>
              <w:rPr>
                <w:noProof/>
                <w:webHidden/>
              </w:rPr>
              <w:fldChar w:fldCharType="separate"/>
            </w:r>
            <w:r>
              <w:rPr>
                <w:noProof/>
                <w:webHidden/>
              </w:rPr>
              <w:t>37</w:t>
            </w:r>
            <w:r>
              <w:rPr>
                <w:noProof/>
                <w:webHidden/>
              </w:rPr>
              <w:fldChar w:fldCharType="end"/>
            </w:r>
          </w:hyperlink>
        </w:p>
        <w:p w14:paraId="7A1A262C" w14:textId="69D2C6C3" w:rsidR="007F03BF" w:rsidRDefault="007F03BF">
          <w:pPr>
            <w:pStyle w:val="TDC2"/>
            <w:tabs>
              <w:tab w:val="right" w:leader="dot" w:pos="8828"/>
            </w:tabs>
            <w:rPr>
              <w:rFonts w:eastAsiaTheme="minorEastAsia" w:cstheme="minorBidi"/>
              <w:b w:val="0"/>
              <w:bCs w:val="0"/>
              <w:noProof/>
              <w:sz w:val="24"/>
              <w:szCs w:val="24"/>
              <w:lang w:val="es-MX"/>
            </w:rPr>
          </w:pPr>
          <w:hyperlink w:anchor="_Toc39684000" w:history="1">
            <w:r w:rsidRPr="00DA2F9F">
              <w:rPr>
                <w:rStyle w:val="Hipervnculo"/>
                <w:rFonts w:ascii="Arial" w:hAnsi="Arial" w:cs="Arial"/>
                <w:noProof/>
              </w:rPr>
              <w:t>Análisis global de cumplimiento del Poder Ejecutivo – Demarcaciones Territoriales</w:t>
            </w:r>
            <w:r>
              <w:rPr>
                <w:noProof/>
                <w:webHidden/>
              </w:rPr>
              <w:tab/>
            </w:r>
            <w:r>
              <w:rPr>
                <w:noProof/>
                <w:webHidden/>
              </w:rPr>
              <w:fldChar w:fldCharType="begin"/>
            </w:r>
            <w:r>
              <w:rPr>
                <w:noProof/>
                <w:webHidden/>
              </w:rPr>
              <w:instrText xml:space="preserve"> PAGEREF _Toc39684000 \h </w:instrText>
            </w:r>
            <w:r>
              <w:rPr>
                <w:noProof/>
                <w:webHidden/>
              </w:rPr>
            </w:r>
            <w:r>
              <w:rPr>
                <w:noProof/>
                <w:webHidden/>
              </w:rPr>
              <w:fldChar w:fldCharType="separate"/>
            </w:r>
            <w:r>
              <w:rPr>
                <w:noProof/>
                <w:webHidden/>
              </w:rPr>
              <w:t>39</w:t>
            </w:r>
            <w:r>
              <w:rPr>
                <w:noProof/>
                <w:webHidden/>
              </w:rPr>
              <w:fldChar w:fldCharType="end"/>
            </w:r>
          </w:hyperlink>
        </w:p>
        <w:p w14:paraId="58376EA7" w14:textId="75E91C11" w:rsidR="007F03BF" w:rsidRDefault="007F03BF">
          <w:pPr>
            <w:pStyle w:val="TDC1"/>
            <w:tabs>
              <w:tab w:val="right" w:leader="dot" w:pos="8828"/>
            </w:tabs>
            <w:rPr>
              <w:rFonts w:eastAsiaTheme="minorEastAsia" w:cstheme="minorBidi"/>
              <w:b w:val="0"/>
              <w:bCs w:val="0"/>
              <w:i w:val="0"/>
              <w:iCs w:val="0"/>
              <w:noProof/>
              <w:lang w:val="es-MX"/>
            </w:rPr>
          </w:pPr>
          <w:hyperlink w:anchor="_Toc39684001" w:history="1">
            <w:r w:rsidRPr="00DA2F9F">
              <w:rPr>
                <w:rStyle w:val="Hipervnculo"/>
                <w:rFonts w:ascii="Arial" w:hAnsi="Arial" w:cs="Arial"/>
                <w:noProof/>
              </w:rPr>
              <w:t>PODER LEGISLATIVO</w:t>
            </w:r>
            <w:r>
              <w:rPr>
                <w:noProof/>
                <w:webHidden/>
              </w:rPr>
              <w:tab/>
            </w:r>
            <w:r>
              <w:rPr>
                <w:noProof/>
                <w:webHidden/>
              </w:rPr>
              <w:fldChar w:fldCharType="begin"/>
            </w:r>
            <w:r>
              <w:rPr>
                <w:noProof/>
                <w:webHidden/>
              </w:rPr>
              <w:instrText xml:space="preserve"> PAGEREF _Toc39684001 \h </w:instrText>
            </w:r>
            <w:r>
              <w:rPr>
                <w:noProof/>
                <w:webHidden/>
              </w:rPr>
            </w:r>
            <w:r>
              <w:rPr>
                <w:noProof/>
                <w:webHidden/>
              </w:rPr>
              <w:fldChar w:fldCharType="separate"/>
            </w:r>
            <w:r>
              <w:rPr>
                <w:noProof/>
                <w:webHidden/>
              </w:rPr>
              <w:t>43</w:t>
            </w:r>
            <w:r>
              <w:rPr>
                <w:noProof/>
                <w:webHidden/>
              </w:rPr>
              <w:fldChar w:fldCharType="end"/>
            </w:r>
          </w:hyperlink>
        </w:p>
        <w:p w14:paraId="619CE27E" w14:textId="0E45920E" w:rsidR="007F03BF" w:rsidRDefault="007F03BF">
          <w:pPr>
            <w:pStyle w:val="TDC2"/>
            <w:tabs>
              <w:tab w:val="right" w:leader="dot" w:pos="8828"/>
            </w:tabs>
            <w:rPr>
              <w:rFonts w:eastAsiaTheme="minorEastAsia" w:cstheme="minorBidi"/>
              <w:b w:val="0"/>
              <w:bCs w:val="0"/>
              <w:noProof/>
              <w:sz w:val="24"/>
              <w:szCs w:val="24"/>
              <w:lang w:val="es-MX"/>
            </w:rPr>
          </w:pPr>
          <w:hyperlink w:anchor="_Toc39684002" w:history="1">
            <w:r w:rsidRPr="00DA2F9F">
              <w:rPr>
                <w:rStyle w:val="Hipervnculo"/>
                <w:rFonts w:ascii="Arial" w:hAnsi="Arial" w:cs="Arial"/>
                <w:noProof/>
              </w:rPr>
              <w:t>Análisis global de cumplimiento del Poder Legislativo</w:t>
            </w:r>
            <w:r>
              <w:rPr>
                <w:noProof/>
                <w:webHidden/>
              </w:rPr>
              <w:tab/>
            </w:r>
            <w:r>
              <w:rPr>
                <w:noProof/>
                <w:webHidden/>
              </w:rPr>
              <w:fldChar w:fldCharType="begin"/>
            </w:r>
            <w:r>
              <w:rPr>
                <w:noProof/>
                <w:webHidden/>
              </w:rPr>
              <w:instrText xml:space="preserve"> PAGEREF _Toc39684002 \h </w:instrText>
            </w:r>
            <w:r>
              <w:rPr>
                <w:noProof/>
                <w:webHidden/>
              </w:rPr>
            </w:r>
            <w:r>
              <w:rPr>
                <w:noProof/>
                <w:webHidden/>
              </w:rPr>
              <w:fldChar w:fldCharType="separate"/>
            </w:r>
            <w:r>
              <w:rPr>
                <w:noProof/>
                <w:webHidden/>
              </w:rPr>
              <w:t>44</w:t>
            </w:r>
            <w:r>
              <w:rPr>
                <w:noProof/>
                <w:webHidden/>
              </w:rPr>
              <w:fldChar w:fldCharType="end"/>
            </w:r>
          </w:hyperlink>
        </w:p>
        <w:p w14:paraId="5AA9F634" w14:textId="7B280DC5" w:rsidR="007F03BF" w:rsidRDefault="007F03BF">
          <w:pPr>
            <w:pStyle w:val="TDC1"/>
            <w:tabs>
              <w:tab w:val="right" w:leader="dot" w:pos="8828"/>
            </w:tabs>
            <w:rPr>
              <w:rFonts w:eastAsiaTheme="minorEastAsia" w:cstheme="minorBidi"/>
              <w:b w:val="0"/>
              <w:bCs w:val="0"/>
              <w:i w:val="0"/>
              <w:iCs w:val="0"/>
              <w:noProof/>
              <w:lang w:val="es-MX"/>
            </w:rPr>
          </w:pPr>
          <w:hyperlink w:anchor="_Toc39684003" w:history="1">
            <w:r w:rsidRPr="00DA2F9F">
              <w:rPr>
                <w:rStyle w:val="Hipervnculo"/>
                <w:rFonts w:ascii="Arial" w:hAnsi="Arial" w:cs="Arial"/>
                <w:noProof/>
              </w:rPr>
              <w:t>ÓRGANOS AUTÓNOMOS</w:t>
            </w:r>
            <w:r>
              <w:rPr>
                <w:noProof/>
                <w:webHidden/>
              </w:rPr>
              <w:tab/>
            </w:r>
            <w:r>
              <w:rPr>
                <w:noProof/>
                <w:webHidden/>
              </w:rPr>
              <w:fldChar w:fldCharType="begin"/>
            </w:r>
            <w:r>
              <w:rPr>
                <w:noProof/>
                <w:webHidden/>
              </w:rPr>
              <w:instrText xml:space="preserve"> PAGEREF _Toc39684003 \h </w:instrText>
            </w:r>
            <w:r>
              <w:rPr>
                <w:noProof/>
                <w:webHidden/>
              </w:rPr>
            </w:r>
            <w:r>
              <w:rPr>
                <w:noProof/>
                <w:webHidden/>
              </w:rPr>
              <w:fldChar w:fldCharType="separate"/>
            </w:r>
            <w:r>
              <w:rPr>
                <w:noProof/>
                <w:webHidden/>
              </w:rPr>
              <w:t>47</w:t>
            </w:r>
            <w:r>
              <w:rPr>
                <w:noProof/>
                <w:webHidden/>
              </w:rPr>
              <w:fldChar w:fldCharType="end"/>
            </w:r>
          </w:hyperlink>
        </w:p>
        <w:p w14:paraId="45572173" w14:textId="4BA34F4C" w:rsidR="007F03BF" w:rsidRDefault="007F03BF">
          <w:pPr>
            <w:pStyle w:val="TDC2"/>
            <w:tabs>
              <w:tab w:val="right" w:leader="dot" w:pos="8828"/>
            </w:tabs>
            <w:rPr>
              <w:rFonts w:eastAsiaTheme="minorEastAsia" w:cstheme="minorBidi"/>
              <w:b w:val="0"/>
              <w:bCs w:val="0"/>
              <w:noProof/>
              <w:sz w:val="24"/>
              <w:szCs w:val="24"/>
              <w:lang w:val="es-MX"/>
            </w:rPr>
          </w:pPr>
          <w:hyperlink w:anchor="_Toc39684004" w:history="1">
            <w:r w:rsidRPr="00DA2F9F">
              <w:rPr>
                <w:rStyle w:val="Hipervnculo"/>
                <w:rFonts w:ascii="Arial" w:hAnsi="Arial" w:cs="Arial"/>
                <w:noProof/>
              </w:rPr>
              <w:t>Análisis global de cumplimiento de los Órganos Autónomos</w:t>
            </w:r>
            <w:r>
              <w:rPr>
                <w:noProof/>
                <w:webHidden/>
              </w:rPr>
              <w:tab/>
            </w:r>
            <w:r>
              <w:rPr>
                <w:noProof/>
                <w:webHidden/>
              </w:rPr>
              <w:fldChar w:fldCharType="begin"/>
            </w:r>
            <w:r>
              <w:rPr>
                <w:noProof/>
                <w:webHidden/>
              </w:rPr>
              <w:instrText xml:space="preserve"> PAGEREF _Toc39684004 \h </w:instrText>
            </w:r>
            <w:r>
              <w:rPr>
                <w:noProof/>
                <w:webHidden/>
              </w:rPr>
            </w:r>
            <w:r>
              <w:rPr>
                <w:noProof/>
                <w:webHidden/>
              </w:rPr>
              <w:fldChar w:fldCharType="separate"/>
            </w:r>
            <w:r>
              <w:rPr>
                <w:noProof/>
                <w:webHidden/>
              </w:rPr>
              <w:t>48</w:t>
            </w:r>
            <w:r>
              <w:rPr>
                <w:noProof/>
                <w:webHidden/>
              </w:rPr>
              <w:fldChar w:fldCharType="end"/>
            </w:r>
          </w:hyperlink>
        </w:p>
        <w:p w14:paraId="3AAB1C95" w14:textId="1020EFE0" w:rsidR="007F03BF" w:rsidRDefault="007F03BF">
          <w:pPr>
            <w:pStyle w:val="TDC1"/>
            <w:tabs>
              <w:tab w:val="right" w:leader="dot" w:pos="8828"/>
            </w:tabs>
            <w:rPr>
              <w:rFonts w:eastAsiaTheme="minorEastAsia" w:cstheme="minorBidi"/>
              <w:b w:val="0"/>
              <w:bCs w:val="0"/>
              <w:i w:val="0"/>
              <w:iCs w:val="0"/>
              <w:noProof/>
              <w:lang w:val="es-MX"/>
            </w:rPr>
          </w:pPr>
          <w:hyperlink w:anchor="_Toc39684005" w:history="1">
            <w:r w:rsidRPr="00DA2F9F">
              <w:rPr>
                <w:rStyle w:val="Hipervnculo"/>
                <w:rFonts w:ascii="Arial" w:hAnsi="Arial" w:cs="Arial"/>
                <w:noProof/>
              </w:rPr>
              <w:t>SINDICATOS</w:t>
            </w:r>
            <w:r>
              <w:rPr>
                <w:noProof/>
                <w:webHidden/>
              </w:rPr>
              <w:tab/>
            </w:r>
            <w:r>
              <w:rPr>
                <w:noProof/>
                <w:webHidden/>
              </w:rPr>
              <w:fldChar w:fldCharType="begin"/>
            </w:r>
            <w:r>
              <w:rPr>
                <w:noProof/>
                <w:webHidden/>
              </w:rPr>
              <w:instrText xml:space="preserve"> PAGEREF _Toc39684005 \h </w:instrText>
            </w:r>
            <w:r>
              <w:rPr>
                <w:noProof/>
                <w:webHidden/>
              </w:rPr>
            </w:r>
            <w:r>
              <w:rPr>
                <w:noProof/>
                <w:webHidden/>
              </w:rPr>
              <w:fldChar w:fldCharType="separate"/>
            </w:r>
            <w:r>
              <w:rPr>
                <w:noProof/>
                <w:webHidden/>
              </w:rPr>
              <w:t>51</w:t>
            </w:r>
            <w:r>
              <w:rPr>
                <w:noProof/>
                <w:webHidden/>
              </w:rPr>
              <w:fldChar w:fldCharType="end"/>
            </w:r>
          </w:hyperlink>
        </w:p>
        <w:p w14:paraId="517457DF" w14:textId="5C8C2032" w:rsidR="007F03BF" w:rsidRDefault="007F03BF">
          <w:pPr>
            <w:pStyle w:val="TDC2"/>
            <w:tabs>
              <w:tab w:val="right" w:leader="dot" w:pos="8828"/>
            </w:tabs>
            <w:rPr>
              <w:rFonts w:eastAsiaTheme="minorEastAsia" w:cstheme="minorBidi"/>
              <w:b w:val="0"/>
              <w:bCs w:val="0"/>
              <w:noProof/>
              <w:sz w:val="24"/>
              <w:szCs w:val="24"/>
              <w:lang w:val="es-MX"/>
            </w:rPr>
          </w:pPr>
          <w:hyperlink w:anchor="_Toc39684006" w:history="1">
            <w:r w:rsidRPr="00DA2F9F">
              <w:rPr>
                <w:rStyle w:val="Hipervnculo"/>
                <w:rFonts w:ascii="Arial" w:hAnsi="Arial" w:cs="Arial"/>
                <w:noProof/>
              </w:rPr>
              <w:t>Análisis global de cumplimiento de los Sindicatos</w:t>
            </w:r>
            <w:r>
              <w:rPr>
                <w:noProof/>
                <w:webHidden/>
              </w:rPr>
              <w:tab/>
            </w:r>
            <w:r>
              <w:rPr>
                <w:noProof/>
                <w:webHidden/>
              </w:rPr>
              <w:fldChar w:fldCharType="begin"/>
            </w:r>
            <w:r>
              <w:rPr>
                <w:noProof/>
                <w:webHidden/>
              </w:rPr>
              <w:instrText xml:space="preserve"> PAGEREF _Toc39684006 \h </w:instrText>
            </w:r>
            <w:r>
              <w:rPr>
                <w:noProof/>
                <w:webHidden/>
              </w:rPr>
            </w:r>
            <w:r>
              <w:rPr>
                <w:noProof/>
                <w:webHidden/>
              </w:rPr>
              <w:fldChar w:fldCharType="separate"/>
            </w:r>
            <w:r>
              <w:rPr>
                <w:noProof/>
                <w:webHidden/>
              </w:rPr>
              <w:t>52</w:t>
            </w:r>
            <w:r>
              <w:rPr>
                <w:noProof/>
                <w:webHidden/>
              </w:rPr>
              <w:fldChar w:fldCharType="end"/>
            </w:r>
          </w:hyperlink>
        </w:p>
        <w:p w14:paraId="775BD462" w14:textId="48653838" w:rsidR="007F03BF" w:rsidRDefault="007F03BF">
          <w:pPr>
            <w:pStyle w:val="TDC1"/>
            <w:tabs>
              <w:tab w:val="right" w:leader="dot" w:pos="8828"/>
            </w:tabs>
            <w:rPr>
              <w:rFonts w:eastAsiaTheme="minorEastAsia" w:cstheme="minorBidi"/>
              <w:b w:val="0"/>
              <w:bCs w:val="0"/>
              <w:i w:val="0"/>
              <w:iCs w:val="0"/>
              <w:noProof/>
              <w:lang w:val="es-MX"/>
            </w:rPr>
          </w:pPr>
          <w:hyperlink w:anchor="_Toc39684007" w:history="1">
            <w:r w:rsidRPr="00DA2F9F">
              <w:rPr>
                <w:rStyle w:val="Hipervnculo"/>
                <w:rFonts w:ascii="Arial" w:hAnsi="Arial" w:cs="Arial"/>
                <w:noProof/>
              </w:rPr>
              <w:t>CONCLUSIONES</w:t>
            </w:r>
            <w:r>
              <w:rPr>
                <w:noProof/>
                <w:webHidden/>
              </w:rPr>
              <w:tab/>
            </w:r>
            <w:r>
              <w:rPr>
                <w:noProof/>
                <w:webHidden/>
              </w:rPr>
              <w:fldChar w:fldCharType="begin"/>
            </w:r>
            <w:r>
              <w:rPr>
                <w:noProof/>
                <w:webHidden/>
              </w:rPr>
              <w:instrText xml:space="preserve"> PAGEREF _Toc39684007 \h </w:instrText>
            </w:r>
            <w:r>
              <w:rPr>
                <w:noProof/>
                <w:webHidden/>
              </w:rPr>
            </w:r>
            <w:r>
              <w:rPr>
                <w:noProof/>
                <w:webHidden/>
              </w:rPr>
              <w:fldChar w:fldCharType="separate"/>
            </w:r>
            <w:r>
              <w:rPr>
                <w:noProof/>
                <w:webHidden/>
              </w:rPr>
              <w:t>55</w:t>
            </w:r>
            <w:r>
              <w:rPr>
                <w:noProof/>
                <w:webHidden/>
              </w:rPr>
              <w:fldChar w:fldCharType="end"/>
            </w:r>
          </w:hyperlink>
        </w:p>
        <w:p w14:paraId="18EFB3A8" w14:textId="51C64B25" w:rsidR="007F03BF" w:rsidRDefault="007F03BF">
          <w:pPr>
            <w:pStyle w:val="TDC1"/>
            <w:tabs>
              <w:tab w:val="right" w:leader="dot" w:pos="8828"/>
            </w:tabs>
            <w:rPr>
              <w:rFonts w:eastAsiaTheme="minorEastAsia" w:cstheme="minorBidi"/>
              <w:b w:val="0"/>
              <w:bCs w:val="0"/>
              <w:i w:val="0"/>
              <w:iCs w:val="0"/>
              <w:noProof/>
              <w:lang w:val="es-MX"/>
            </w:rPr>
          </w:pPr>
          <w:hyperlink w:anchor="_Toc39684008" w:history="1">
            <w:r w:rsidRPr="00DA2F9F">
              <w:rPr>
                <w:rStyle w:val="Hipervnculo"/>
                <w:rFonts w:ascii="Arial" w:hAnsi="Arial" w:cs="Arial"/>
                <w:noProof/>
              </w:rPr>
              <w:t>LÍNEAS DE ACCIÓN</w:t>
            </w:r>
            <w:r>
              <w:rPr>
                <w:noProof/>
                <w:webHidden/>
              </w:rPr>
              <w:tab/>
            </w:r>
            <w:r>
              <w:rPr>
                <w:noProof/>
                <w:webHidden/>
              </w:rPr>
              <w:fldChar w:fldCharType="begin"/>
            </w:r>
            <w:r>
              <w:rPr>
                <w:noProof/>
                <w:webHidden/>
              </w:rPr>
              <w:instrText xml:space="preserve"> PAGEREF _Toc39684008 \h </w:instrText>
            </w:r>
            <w:r>
              <w:rPr>
                <w:noProof/>
                <w:webHidden/>
              </w:rPr>
            </w:r>
            <w:r>
              <w:rPr>
                <w:noProof/>
                <w:webHidden/>
              </w:rPr>
              <w:fldChar w:fldCharType="separate"/>
            </w:r>
            <w:r>
              <w:rPr>
                <w:noProof/>
                <w:webHidden/>
              </w:rPr>
              <w:t>56</w:t>
            </w:r>
            <w:r>
              <w:rPr>
                <w:noProof/>
                <w:webHidden/>
              </w:rPr>
              <w:fldChar w:fldCharType="end"/>
            </w:r>
          </w:hyperlink>
        </w:p>
        <w:p w14:paraId="4705ECFC" w14:textId="3ECBF7D7" w:rsidR="000D019A" w:rsidRPr="007F03BF" w:rsidRDefault="000D019A" w:rsidP="00B018FB">
          <w:pPr>
            <w:jc w:val="both"/>
          </w:pPr>
          <w:r w:rsidRPr="007F03BF">
            <w:rPr>
              <w:rFonts w:ascii="Arial" w:hAnsi="Arial" w:cs="Arial"/>
              <w:b/>
              <w:bCs/>
              <w:sz w:val="22"/>
              <w:szCs w:val="22"/>
            </w:rPr>
            <w:fldChar w:fldCharType="end"/>
          </w:r>
        </w:p>
      </w:sdtContent>
    </w:sdt>
    <w:p w14:paraId="49615BEF" w14:textId="77777777" w:rsidR="00FF7BD9" w:rsidRPr="007F03BF" w:rsidRDefault="00FF7BD9" w:rsidP="00443C3B">
      <w:pPr>
        <w:pStyle w:val="Ttulo1"/>
        <w:contextualSpacing/>
        <w:rPr>
          <w:rFonts w:ascii="Arial" w:hAnsi="Arial" w:cs="Arial"/>
          <w:b/>
          <w:color w:val="000000" w:themeColor="text1"/>
          <w:sz w:val="24"/>
          <w:szCs w:val="24"/>
        </w:rPr>
      </w:pPr>
      <w:bookmarkStart w:id="1" w:name="_Toc39683987"/>
      <w:r w:rsidRPr="007F03BF">
        <w:rPr>
          <w:rFonts w:ascii="Arial" w:hAnsi="Arial" w:cs="Arial"/>
          <w:b/>
          <w:color w:val="000000" w:themeColor="text1"/>
          <w:sz w:val="24"/>
          <w:szCs w:val="24"/>
        </w:rPr>
        <w:lastRenderedPageBreak/>
        <w:t>INTRODUCCIÓN</w:t>
      </w:r>
      <w:bookmarkEnd w:id="1"/>
    </w:p>
    <w:p w14:paraId="3710B83E" w14:textId="77777777" w:rsidR="00FF7BD9" w:rsidRPr="007F03BF" w:rsidRDefault="00FF7BD9" w:rsidP="00443C3B">
      <w:pPr>
        <w:pStyle w:val="Ttulo1"/>
        <w:contextualSpacing/>
        <w:rPr>
          <w:rFonts w:ascii="Arial" w:hAnsi="Arial" w:cs="Arial"/>
          <w:b/>
          <w:color w:val="000000" w:themeColor="text1"/>
          <w:sz w:val="24"/>
          <w:szCs w:val="24"/>
        </w:rPr>
      </w:pPr>
    </w:p>
    <w:p w14:paraId="13A4F96E" w14:textId="36A454D6" w:rsidR="00217E5F" w:rsidRPr="007F03BF" w:rsidRDefault="00217E5F" w:rsidP="00217E5F">
      <w:pPr>
        <w:autoSpaceDE w:val="0"/>
        <w:autoSpaceDN w:val="0"/>
        <w:adjustRightInd w:val="0"/>
        <w:spacing w:line="360" w:lineRule="auto"/>
        <w:contextualSpacing/>
        <w:jc w:val="both"/>
        <w:rPr>
          <w:rFonts w:ascii="Arial" w:hAnsi="Arial" w:cs="Arial"/>
          <w:bCs/>
        </w:rPr>
      </w:pPr>
      <w:r w:rsidRPr="007F03BF">
        <w:rPr>
          <w:rFonts w:ascii="Arial" w:hAnsi="Arial" w:cs="Arial"/>
        </w:rPr>
        <w:t xml:space="preserve">Durante </w:t>
      </w:r>
      <w:r w:rsidR="00322D43" w:rsidRPr="007F03BF">
        <w:rPr>
          <w:rFonts w:ascii="Arial" w:hAnsi="Arial" w:cs="Arial"/>
        </w:rPr>
        <w:t>el mes de diciembre del año 2019 y los meses de enero y febrero</w:t>
      </w:r>
      <w:r w:rsidRPr="007F03BF">
        <w:rPr>
          <w:rFonts w:ascii="Arial" w:hAnsi="Arial" w:cs="Arial"/>
        </w:rPr>
        <w:t xml:space="preserve"> del presente año, el Instituto de Transparencia, Acceso a la Información Pública, Protección de Datos Personales y Rendición de Cuentas de la Ciudad de México (INFO), a través de la Dirección de Estado Abierto, Estudios y Evaluación</w:t>
      </w:r>
      <w:r w:rsidR="006721BF" w:rsidRPr="007F03BF">
        <w:rPr>
          <w:rFonts w:ascii="Arial" w:hAnsi="Arial" w:cs="Arial"/>
        </w:rPr>
        <w:t xml:space="preserve"> (la Dirección)</w:t>
      </w:r>
      <w:r w:rsidRPr="007F03BF">
        <w:rPr>
          <w:rFonts w:ascii="Arial" w:hAnsi="Arial" w:cs="Arial"/>
        </w:rPr>
        <w:t xml:space="preserve">, realizó la </w:t>
      </w:r>
      <w:r w:rsidR="00322D43" w:rsidRPr="007F03BF">
        <w:rPr>
          <w:rFonts w:ascii="Arial" w:hAnsi="Arial" w:cs="Arial"/>
        </w:rPr>
        <w:t xml:space="preserve">Primera Evaluación Vinculante dos mil veinte, </w:t>
      </w:r>
      <w:r w:rsidR="00322D43" w:rsidRPr="007F03BF">
        <w:rPr>
          <w:rFonts w:ascii="Arial" w:hAnsi="Arial" w:cs="Arial"/>
          <w:bCs/>
        </w:rPr>
        <w:t>que verifica la atención, por parte de veintiocho sujetos obligados, de las recomendaciones y observaciones derivadas de la Segunda Evaluación Vinculante dos mil diecinueve, sobre el cumplimiento de las obligaciones de transparencia que deben mantener publicadas y actualizadas en su portal de internet y en la plataforma nacional de transparencia relativas al primer semestre del año dos mil diecinueve.</w:t>
      </w:r>
    </w:p>
    <w:p w14:paraId="59576DC8" w14:textId="77777777" w:rsidR="00322D43" w:rsidRPr="007F03BF" w:rsidRDefault="00322D43" w:rsidP="00217E5F">
      <w:pPr>
        <w:autoSpaceDE w:val="0"/>
        <w:autoSpaceDN w:val="0"/>
        <w:adjustRightInd w:val="0"/>
        <w:spacing w:line="360" w:lineRule="auto"/>
        <w:contextualSpacing/>
        <w:jc w:val="both"/>
        <w:rPr>
          <w:rFonts w:ascii="Arial" w:hAnsi="Arial" w:cs="Arial"/>
        </w:rPr>
      </w:pPr>
    </w:p>
    <w:p w14:paraId="3B01B812" w14:textId="229C75DA" w:rsidR="00217E5F" w:rsidRPr="007F03BF" w:rsidRDefault="00217E5F" w:rsidP="00217E5F">
      <w:pPr>
        <w:autoSpaceDE w:val="0"/>
        <w:autoSpaceDN w:val="0"/>
        <w:adjustRightInd w:val="0"/>
        <w:spacing w:line="360" w:lineRule="auto"/>
        <w:contextualSpacing/>
        <w:jc w:val="both"/>
        <w:rPr>
          <w:rFonts w:ascii="Arial" w:hAnsi="Arial" w:cs="Arial"/>
        </w:rPr>
      </w:pPr>
      <w:r w:rsidRPr="007F03BF">
        <w:rPr>
          <w:rFonts w:ascii="Arial" w:hAnsi="Arial" w:cs="Arial"/>
        </w:rPr>
        <w:t>El Padrón de Sujetos Obligados vigente al 31 de julio de 2019 estuvo integrado por 143 sujetos; de ese total, 35 fueron incorporados al Padrón durante el primer semestre del año 2019</w:t>
      </w:r>
      <w:r w:rsidR="00C6090F" w:rsidRPr="007F03BF">
        <w:rPr>
          <w:rFonts w:ascii="Arial" w:hAnsi="Arial" w:cs="Arial"/>
        </w:rPr>
        <w:t xml:space="preserve">, razón por la que se realizó </w:t>
      </w:r>
      <w:r w:rsidRPr="007F03BF">
        <w:rPr>
          <w:rFonts w:ascii="Arial" w:hAnsi="Arial" w:cs="Arial"/>
        </w:rPr>
        <w:t xml:space="preserve">la Segunda Evaluación Vinculante 2019, </w:t>
      </w:r>
      <w:r w:rsidR="00C6090F" w:rsidRPr="007F03BF">
        <w:rPr>
          <w:rFonts w:ascii="Arial" w:hAnsi="Arial" w:cs="Arial"/>
        </w:rPr>
        <w:t xml:space="preserve">únicamente </w:t>
      </w:r>
      <w:r w:rsidRPr="007F03BF">
        <w:rPr>
          <w:rFonts w:ascii="Arial" w:hAnsi="Arial" w:cs="Arial"/>
        </w:rPr>
        <w:t xml:space="preserve">respecto de los 35 sujetos obligados de reciente incorporación al Padrón. Los resultados de esa Segunda Evaluación Vinculante 2019, muestran que siete sujetos obligados cumplieron totalmente con el piso mínimo que marca la Ley de Transparencia </w:t>
      </w:r>
      <w:r w:rsidR="00D47F3C" w:rsidRPr="007F03BF">
        <w:rPr>
          <w:rFonts w:ascii="Arial" w:hAnsi="Arial" w:cs="Arial"/>
        </w:rPr>
        <w:t>local</w:t>
      </w:r>
      <w:r w:rsidRPr="007F03BF">
        <w:rPr>
          <w:rFonts w:ascii="Arial" w:hAnsi="Arial" w:cs="Arial"/>
        </w:rPr>
        <w:t>, en tanto que otros 28 sujetos obligados present</w:t>
      </w:r>
      <w:r w:rsidR="00C6090F" w:rsidRPr="007F03BF">
        <w:rPr>
          <w:rFonts w:ascii="Arial" w:hAnsi="Arial" w:cs="Arial"/>
        </w:rPr>
        <w:t>aron</w:t>
      </w:r>
      <w:r w:rsidRPr="007F03BF">
        <w:rPr>
          <w:rFonts w:ascii="Arial" w:hAnsi="Arial" w:cs="Arial"/>
        </w:rPr>
        <w:t xml:space="preserve"> todavía distintas áreas de oportunidad. </w:t>
      </w:r>
    </w:p>
    <w:p w14:paraId="4BFF4C7A" w14:textId="77777777" w:rsidR="00217E5F" w:rsidRPr="007F03BF" w:rsidRDefault="00217E5F" w:rsidP="00217E5F">
      <w:pPr>
        <w:autoSpaceDE w:val="0"/>
        <w:autoSpaceDN w:val="0"/>
        <w:adjustRightInd w:val="0"/>
        <w:spacing w:line="360" w:lineRule="auto"/>
        <w:contextualSpacing/>
        <w:jc w:val="both"/>
        <w:rPr>
          <w:rFonts w:ascii="Arial" w:hAnsi="Arial" w:cs="Arial"/>
        </w:rPr>
      </w:pPr>
    </w:p>
    <w:p w14:paraId="1C25B82B" w14:textId="46CC8491" w:rsidR="00217E5F" w:rsidRPr="007F03BF" w:rsidRDefault="00C6090F" w:rsidP="00217E5F">
      <w:pPr>
        <w:autoSpaceDE w:val="0"/>
        <w:autoSpaceDN w:val="0"/>
        <w:adjustRightInd w:val="0"/>
        <w:spacing w:line="360" w:lineRule="auto"/>
        <w:contextualSpacing/>
        <w:jc w:val="both"/>
        <w:rPr>
          <w:rFonts w:ascii="Arial" w:hAnsi="Arial" w:cs="Arial"/>
        </w:rPr>
      </w:pPr>
      <w:r w:rsidRPr="007F03BF">
        <w:rPr>
          <w:rFonts w:ascii="Arial" w:hAnsi="Arial" w:cs="Arial"/>
        </w:rPr>
        <w:t>En tal sentido, la presente</w:t>
      </w:r>
      <w:r w:rsidR="00217E5F" w:rsidRPr="007F03BF">
        <w:rPr>
          <w:rFonts w:ascii="Arial" w:hAnsi="Arial" w:cs="Arial"/>
        </w:rPr>
        <w:t xml:space="preserve"> evaluación </w:t>
      </w:r>
      <w:r w:rsidRPr="007F03BF">
        <w:rPr>
          <w:rFonts w:ascii="Arial" w:hAnsi="Arial" w:cs="Arial"/>
        </w:rPr>
        <w:t>consiste</w:t>
      </w:r>
      <w:r w:rsidR="00217E5F" w:rsidRPr="007F03BF">
        <w:rPr>
          <w:rFonts w:ascii="Arial" w:hAnsi="Arial" w:cs="Arial"/>
        </w:rPr>
        <w:t xml:space="preserve"> en verificar que los 28 sujetos obligados h</w:t>
      </w:r>
      <w:r w:rsidRPr="007F03BF">
        <w:rPr>
          <w:rFonts w:ascii="Arial" w:hAnsi="Arial" w:cs="Arial"/>
        </w:rPr>
        <w:t>ayan</w:t>
      </w:r>
      <w:r w:rsidR="00217E5F" w:rsidRPr="007F03BF">
        <w:rPr>
          <w:rFonts w:ascii="Arial" w:hAnsi="Arial" w:cs="Arial"/>
        </w:rPr>
        <w:t xml:space="preserve"> atendido a cabalidad las recomendaciones y observaciones que fueron proporcionadas a cada uno de ellos, mediante sus respectivos dictámenes de evaluación. Por ello, únicamente se</w:t>
      </w:r>
      <w:r w:rsidRPr="007F03BF">
        <w:rPr>
          <w:rFonts w:ascii="Arial" w:hAnsi="Arial" w:cs="Arial"/>
        </w:rPr>
        <w:t xml:space="preserve"> evaluaron</w:t>
      </w:r>
      <w:r w:rsidR="00217E5F" w:rsidRPr="007F03BF">
        <w:rPr>
          <w:rFonts w:ascii="Arial" w:hAnsi="Arial" w:cs="Arial"/>
        </w:rPr>
        <w:t xml:space="preserve"> los artículos y fracciones </w:t>
      </w:r>
      <w:r w:rsidRPr="007F03BF">
        <w:rPr>
          <w:rFonts w:ascii="Arial" w:hAnsi="Arial" w:cs="Arial"/>
        </w:rPr>
        <w:t>en las que se advirtieron</w:t>
      </w:r>
      <w:r w:rsidR="00217E5F" w:rsidRPr="007F03BF">
        <w:rPr>
          <w:rFonts w:ascii="Arial" w:hAnsi="Arial" w:cs="Arial"/>
        </w:rPr>
        <w:t xml:space="preserve"> </w:t>
      </w:r>
      <w:r w:rsidRPr="007F03BF">
        <w:rPr>
          <w:rFonts w:ascii="Arial" w:hAnsi="Arial" w:cs="Arial"/>
        </w:rPr>
        <w:t xml:space="preserve">áreas </w:t>
      </w:r>
      <w:r w:rsidR="00217E5F" w:rsidRPr="007F03BF">
        <w:rPr>
          <w:rFonts w:ascii="Arial" w:hAnsi="Arial" w:cs="Arial"/>
        </w:rPr>
        <w:t xml:space="preserve">de oportunidad. </w:t>
      </w:r>
    </w:p>
    <w:p w14:paraId="6E1706E9" w14:textId="77777777" w:rsidR="00217E5F" w:rsidRPr="007F03BF" w:rsidRDefault="00217E5F" w:rsidP="00217E5F">
      <w:pPr>
        <w:autoSpaceDE w:val="0"/>
        <w:autoSpaceDN w:val="0"/>
        <w:adjustRightInd w:val="0"/>
        <w:spacing w:line="360" w:lineRule="auto"/>
        <w:contextualSpacing/>
        <w:jc w:val="both"/>
        <w:rPr>
          <w:rFonts w:ascii="Arial" w:hAnsi="Arial" w:cs="Arial"/>
        </w:rPr>
      </w:pPr>
    </w:p>
    <w:p w14:paraId="047108D1" w14:textId="57176985" w:rsidR="00217E5F" w:rsidRPr="007F03BF" w:rsidRDefault="00217E5F" w:rsidP="00217E5F">
      <w:pPr>
        <w:autoSpaceDE w:val="0"/>
        <w:autoSpaceDN w:val="0"/>
        <w:adjustRightInd w:val="0"/>
        <w:spacing w:line="360" w:lineRule="auto"/>
        <w:contextualSpacing/>
        <w:jc w:val="both"/>
        <w:rPr>
          <w:rFonts w:ascii="Arial" w:hAnsi="Arial" w:cs="Arial"/>
        </w:rPr>
      </w:pPr>
      <w:r w:rsidRPr="007F03BF">
        <w:rPr>
          <w:rFonts w:ascii="Arial" w:hAnsi="Arial" w:cs="Arial"/>
        </w:rPr>
        <w:t xml:space="preserve">Es decir, esta evaluación solo busca revisar puntos específicos que fueron señalados como recomendaciones y observaciones; mientras aquellas obligaciones </w:t>
      </w:r>
      <w:r w:rsidRPr="007F03BF">
        <w:rPr>
          <w:rFonts w:ascii="Arial" w:hAnsi="Arial" w:cs="Arial"/>
        </w:rPr>
        <w:lastRenderedPageBreak/>
        <w:t xml:space="preserve">que sí fueron cumplidas a cabalidad en la primera evaluación no fueron </w:t>
      </w:r>
      <w:r w:rsidR="006721BF" w:rsidRPr="007F03BF">
        <w:rPr>
          <w:rFonts w:ascii="Arial" w:hAnsi="Arial" w:cs="Arial"/>
        </w:rPr>
        <w:t xml:space="preserve">revisadas </w:t>
      </w:r>
      <w:r w:rsidRPr="007F03BF">
        <w:rPr>
          <w:rFonts w:ascii="Arial" w:hAnsi="Arial" w:cs="Arial"/>
        </w:rPr>
        <w:t xml:space="preserve">en esta primera evaluación de </w:t>
      </w:r>
      <w:proofErr w:type="spellStart"/>
      <w:r w:rsidRPr="007F03BF">
        <w:rPr>
          <w:rFonts w:ascii="Arial" w:hAnsi="Arial" w:cs="Arial"/>
        </w:rPr>
        <w:t>solventación</w:t>
      </w:r>
      <w:proofErr w:type="spellEnd"/>
      <w:r w:rsidRPr="007F03BF">
        <w:rPr>
          <w:rFonts w:ascii="Arial" w:hAnsi="Arial" w:cs="Arial"/>
        </w:rPr>
        <w:t xml:space="preserve">. </w:t>
      </w:r>
    </w:p>
    <w:p w14:paraId="7F6BEA40" w14:textId="77777777" w:rsidR="00217E5F" w:rsidRPr="007F03BF" w:rsidRDefault="00217E5F" w:rsidP="00217E5F">
      <w:pPr>
        <w:autoSpaceDE w:val="0"/>
        <w:autoSpaceDN w:val="0"/>
        <w:adjustRightInd w:val="0"/>
        <w:spacing w:line="360" w:lineRule="auto"/>
        <w:contextualSpacing/>
        <w:jc w:val="both"/>
        <w:rPr>
          <w:rFonts w:ascii="Arial" w:hAnsi="Arial" w:cs="Arial"/>
        </w:rPr>
      </w:pPr>
    </w:p>
    <w:p w14:paraId="3B2FC997" w14:textId="72DF9806" w:rsidR="00C6090F" w:rsidRPr="007F03BF" w:rsidRDefault="00217E5F" w:rsidP="00217E5F">
      <w:pPr>
        <w:autoSpaceDE w:val="0"/>
        <w:autoSpaceDN w:val="0"/>
        <w:adjustRightInd w:val="0"/>
        <w:spacing w:line="360" w:lineRule="auto"/>
        <w:contextualSpacing/>
        <w:jc w:val="both"/>
        <w:rPr>
          <w:rFonts w:ascii="Arial" w:hAnsi="Arial" w:cs="Arial"/>
        </w:rPr>
      </w:pPr>
      <w:r w:rsidRPr="007F03BF">
        <w:rPr>
          <w:rFonts w:ascii="Arial" w:hAnsi="Arial" w:cs="Arial"/>
        </w:rPr>
        <w:t>En atención a lo anterior, los sujetos obligados evaluados pueden situarse en alguno de</w:t>
      </w:r>
      <w:r w:rsidR="00C6090F" w:rsidRPr="007F03BF">
        <w:rPr>
          <w:rFonts w:ascii="Arial" w:hAnsi="Arial" w:cs="Arial"/>
        </w:rPr>
        <w:t xml:space="preserve"> los</w:t>
      </w:r>
      <w:r w:rsidRPr="007F03BF">
        <w:rPr>
          <w:rFonts w:ascii="Arial" w:hAnsi="Arial" w:cs="Arial"/>
        </w:rPr>
        <w:t xml:space="preserve"> cuatro supuestos</w:t>
      </w:r>
      <w:r w:rsidR="00C6090F" w:rsidRPr="007F03BF">
        <w:rPr>
          <w:rFonts w:ascii="Arial" w:hAnsi="Arial" w:cs="Arial"/>
        </w:rPr>
        <w:t xml:space="preserve"> siguientes</w:t>
      </w:r>
      <w:r w:rsidRPr="007F03BF">
        <w:rPr>
          <w:rFonts w:ascii="Arial" w:hAnsi="Arial" w:cs="Arial"/>
        </w:rPr>
        <w:t xml:space="preserve">: </w:t>
      </w:r>
    </w:p>
    <w:p w14:paraId="06D801C3" w14:textId="77777777" w:rsidR="00C6090F" w:rsidRPr="007F03BF" w:rsidRDefault="00C6090F" w:rsidP="00217E5F">
      <w:pPr>
        <w:autoSpaceDE w:val="0"/>
        <w:autoSpaceDN w:val="0"/>
        <w:adjustRightInd w:val="0"/>
        <w:spacing w:line="360" w:lineRule="auto"/>
        <w:contextualSpacing/>
        <w:jc w:val="both"/>
        <w:rPr>
          <w:rFonts w:ascii="Arial" w:hAnsi="Arial" w:cs="Arial"/>
        </w:rPr>
      </w:pPr>
    </w:p>
    <w:p w14:paraId="1A212E19" w14:textId="27C858C1" w:rsidR="00217E5F" w:rsidRPr="007F03BF" w:rsidRDefault="00217E5F" w:rsidP="00217E5F">
      <w:pPr>
        <w:pStyle w:val="Prrafodelista"/>
        <w:numPr>
          <w:ilvl w:val="0"/>
          <w:numId w:val="16"/>
        </w:numPr>
        <w:autoSpaceDE w:val="0"/>
        <w:autoSpaceDN w:val="0"/>
        <w:adjustRightInd w:val="0"/>
        <w:spacing w:line="360" w:lineRule="auto"/>
        <w:jc w:val="both"/>
        <w:rPr>
          <w:rFonts w:ascii="Arial" w:hAnsi="Arial" w:cs="Arial"/>
          <w:sz w:val="24"/>
          <w:szCs w:val="24"/>
        </w:rPr>
      </w:pPr>
      <w:r w:rsidRPr="007F03BF">
        <w:rPr>
          <w:rFonts w:ascii="Arial" w:hAnsi="Arial" w:cs="Arial"/>
          <w:b/>
          <w:bCs/>
          <w:sz w:val="24"/>
          <w:szCs w:val="24"/>
        </w:rPr>
        <w:t>Cumplimiento total</w:t>
      </w:r>
      <w:r w:rsidRPr="007F03BF">
        <w:rPr>
          <w:rFonts w:ascii="Arial" w:hAnsi="Arial" w:cs="Arial"/>
          <w:sz w:val="24"/>
          <w:szCs w:val="24"/>
        </w:rPr>
        <w:t xml:space="preserve"> de las obligaciones de transparencia, después de haber atendido a cabalidad las recomendaciones y observaciones emitidas en la Segunda Evaluación Vinculante 2019, lo cual se traduce en un puntaje de 100 puntos; </w:t>
      </w:r>
    </w:p>
    <w:p w14:paraId="4C019F75" w14:textId="77777777" w:rsidR="00C6090F" w:rsidRPr="007F03BF" w:rsidRDefault="00C6090F" w:rsidP="00C6090F">
      <w:pPr>
        <w:pStyle w:val="Prrafodelista"/>
        <w:autoSpaceDE w:val="0"/>
        <w:autoSpaceDN w:val="0"/>
        <w:adjustRightInd w:val="0"/>
        <w:spacing w:line="360" w:lineRule="auto"/>
        <w:ind w:left="789"/>
        <w:jc w:val="both"/>
        <w:rPr>
          <w:rFonts w:ascii="Arial" w:hAnsi="Arial" w:cs="Arial"/>
          <w:sz w:val="24"/>
          <w:szCs w:val="24"/>
        </w:rPr>
      </w:pPr>
    </w:p>
    <w:p w14:paraId="346D20F7" w14:textId="0FB579B4" w:rsidR="00C6090F" w:rsidRPr="007F03BF" w:rsidRDefault="00217E5F" w:rsidP="00C6090F">
      <w:pPr>
        <w:pStyle w:val="Prrafodelista"/>
        <w:numPr>
          <w:ilvl w:val="0"/>
          <w:numId w:val="16"/>
        </w:numPr>
        <w:autoSpaceDE w:val="0"/>
        <w:autoSpaceDN w:val="0"/>
        <w:adjustRightInd w:val="0"/>
        <w:spacing w:line="360" w:lineRule="auto"/>
        <w:jc w:val="both"/>
        <w:rPr>
          <w:rFonts w:ascii="Arial" w:hAnsi="Arial" w:cs="Arial"/>
          <w:sz w:val="24"/>
          <w:szCs w:val="24"/>
        </w:rPr>
      </w:pPr>
      <w:r w:rsidRPr="007F03BF">
        <w:rPr>
          <w:rFonts w:ascii="Arial" w:hAnsi="Arial" w:cs="Arial"/>
          <w:b/>
          <w:bCs/>
          <w:sz w:val="24"/>
          <w:szCs w:val="24"/>
        </w:rPr>
        <w:t>Cumplimiento o Incumplimiento parcial</w:t>
      </w:r>
      <w:r w:rsidRPr="007F03BF">
        <w:rPr>
          <w:rFonts w:ascii="Arial" w:hAnsi="Arial" w:cs="Arial"/>
          <w:sz w:val="24"/>
          <w:szCs w:val="24"/>
        </w:rPr>
        <w:t>, pero con incremento en el puntaje de su índice global de obligaciones de transparencia, como resultado de una atención parcial a las recomendaciones y observaciones emitidas;</w:t>
      </w:r>
    </w:p>
    <w:p w14:paraId="400AB845" w14:textId="77777777" w:rsidR="00C6090F" w:rsidRPr="007F03BF" w:rsidRDefault="00C6090F" w:rsidP="00C6090F">
      <w:pPr>
        <w:autoSpaceDE w:val="0"/>
        <w:autoSpaceDN w:val="0"/>
        <w:adjustRightInd w:val="0"/>
        <w:spacing w:line="360" w:lineRule="auto"/>
        <w:jc w:val="both"/>
        <w:rPr>
          <w:rFonts w:ascii="Arial" w:hAnsi="Arial" w:cs="Arial"/>
        </w:rPr>
      </w:pPr>
    </w:p>
    <w:p w14:paraId="38D9674A" w14:textId="412936BF" w:rsidR="00217E5F" w:rsidRPr="007F03BF" w:rsidRDefault="00217E5F" w:rsidP="00217E5F">
      <w:pPr>
        <w:pStyle w:val="Prrafodelista"/>
        <w:numPr>
          <w:ilvl w:val="0"/>
          <w:numId w:val="16"/>
        </w:numPr>
        <w:autoSpaceDE w:val="0"/>
        <w:autoSpaceDN w:val="0"/>
        <w:adjustRightInd w:val="0"/>
        <w:spacing w:line="360" w:lineRule="auto"/>
        <w:jc w:val="both"/>
        <w:rPr>
          <w:rFonts w:ascii="Arial" w:hAnsi="Arial" w:cs="Arial"/>
          <w:sz w:val="24"/>
          <w:szCs w:val="24"/>
        </w:rPr>
      </w:pPr>
      <w:r w:rsidRPr="007F03BF">
        <w:rPr>
          <w:rFonts w:ascii="Arial" w:hAnsi="Arial" w:cs="Arial"/>
          <w:b/>
          <w:bCs/>
          <w:sz w:val="24"/>
          <w:szCs w:val="24"/>
        </w:rPr>
        <w:t>Cumplimiento o Incumplimiento parcial</w:t>
      </w:r>
      <w:r w:rsidRPr="007F03BF">
        <w:rPr>
          <w:rFonts w:ascii="Arial" w:hAnsi="Arial" w:cs="Arial"/>
          <w:sz w:val="24"/>
          <w:szCs w:val="24"/>
        </w:rPr>
        <w:t xml:space="preserve">, pero sin incremento en el puntaje de su índice global de obligaciones de transparencia, debido a la nula atención parcial a las recomendaciones y observaciones emitidas, y </w:t>
      </w:r>
    </w:p>
    <w:p w14:paraId="65260FE1" w14:textId="77777777" w:rsidR="00C6090F" w:rsidRPr="007F03BF" w:rsidRDefault="00C6090F" w:rsidP="00C6090F">
      <w:pPr>
        <w:autoSpaceDE w:val="0"/>
        <w:autoSpaceDN w:val="0"/>
        <w:adjustRightInd w:val="0"/>
        <w:spacing w:line="360" w:lineRule="auto"/>
        <w:jc w:val="both"/>
        <w:rPr>
          <w:rFonts w:ascii="Arial" w:hAnsi="Arial" w:cs="Arial"/>
        </w:rPr>
      </w:pPr>
    </w:p>
    <w:p w14:paraId="075C60D2" w14:textId="77777777" w:rsidR="00217E5F" w:rsidRPr="007F03BF" w:rsidRDefault="00217E5F" w:rsidP="00217E5F">
      <w:pPr>
        <w:pStyle w:val="Prrafodelista"/>
        <w:numPr>
          <w:ilvl w:val="0"/>
          <w:numId w:val="16"/>
        </w:numPr>
        <w:autoSpaceDE w:val="0"/>
        <w:autoSpaceDN w:val="0"/>
        <w:adjustRightInd w:val="0"/>
        <w:spacing w:line="360" w:lineRule="auto"/>
        <w:jc w:val="both"/>
        <w:rPr>
          <w:rFonts w:ascii="Arial" w:hAnsi="Arial" w:cs="Arial"/>
          <w:sz w:val="24"/>
          <w:szCs w:val="24"/>
        </w:rPr>
      </w:pPr>
      <w:r w:rsidRPr="007F03BF">
        <w:rPr>
          <w:rFonts w:ascii="Arial" w:hAnsi="Arial" w:cs="Arial"/>
          <w:b/>
          <w:bCs/>
          <w:sz w:val="24"/>
          <w:szCs w:val="24"/>
        </w:rPr>
        <w:t>Cumplimiento o Incumplimiento parcial</w:t>
      </w:r>
      <w:r w:rsidRPr="007F03BF">
        <w:rPr>
          <w:rFonts w:ascii="Arial" w:hAnsi="Arial" w:cs="Arial"/>
          <w:sz w:val="24"/>
          <w:szCs w:val="24"/>
        </w:rPr>
        <w:t>, pero con una disminución en el puntaje de su índice global de obligaciones de transparencia, debido a la nula atención parcial a las recomendaciones y observaciones emitidas y con una disminución de la calificación en lo previamente atendido.</w:t>
      </w:r>
    </w:p>
    <w:p w14:paraId="7DFB1115" w14:textId="77777777" w:rsidR="00217E5F" w:rsidRPr="007F03BF" w:rsidRDefault="00217E5F" w:rsidP="00217E5F">
      <w:pPr>
        <w:pStyle w:val="Prrafodelista"/>
        <w:autoSpaceDE w:val="0"/>
        <w:autoSpaceDN w:val="0"/>
        <w:adjustRightInd w:val="0"/>
        <w:spacing w:line="360" w:lineRule="auto"/>
        <w:ind w:left="789"/>
        <w:jc w:val="both"/>
        <w:rPr>
          <w:rFonts w:ascii="Arial" w:hAnsi="Arial" w:cs="Arial"/>
          <w:sz w:val="24"/>
          <w:szCs w:val="24"/>
        </w:rPr>
      </w:pPr>
    </w:p>
    <w:p w14:paraId="23CB46B2" w14:textId="77777777"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t xml:space="preserve">Los 28 sujetos obligados que tuvieron que atender las recomendaciones y observaciones cumplieron, en promedio, con 90.06% de las obligaciones de </w:t>
      </w:r>
      <w:r w:rsidRPr="007F03BF">
        <w:rPr>
          <w:rFonts w:ascii="Arial" w:hAnsi="Arial" w:cs="Arial"/>
          <w:color w:val="000000" w:themeColor="text1"/>
        </w:rPr>
        <w:lastRenderedPageBreak/>
        <w:t xml:space="preserve">transparencia que deben publicar, por ley, en sus portales institucionales y en la Plataforma Nacional de Transparencia. </w:t>
      </w:r>
    </w:p>
    <w:p w14:paraId="4863DC14" w14:textId="77777777" w:rsidR="000D019A" w:rsidRPr="007F03BF" w:rsidRDefault="000D019A" w:rsidP="000D019A">
      <w:pPr>
        <w:autoSpaceDE w:val="0"/>
        <w:autoSpaceDN w:val="0"/>
        <w:adjustRightInd w:val="0"/>
        <w:spacing w:line="360" w:lineRule="auto"/>
        <w:contextualSpacing/>
        <w:jc w:val="both"/>
        <w:rPr>
          <w:rFonts w:ascii="Arial" w:hAnsi="Arial" w:cs="Arial"/>
        </w:rPr>
      </w:pPr>
    </w:p>
    <w:p w14:paraId="7B66EACD" w14:textId="74A7A9E5" w:rsidR="000D019A" w:rsidRPr="007F03BF" w:rsidRDefault="000D019A" w:rsidP="00322D43">
      <w:pPr>
        <w:autoSpaceDE w:val="0"/>
        <w:autoSpaceDN w:val="0"/>
        <w:adjustRightInd w:val="0"/>
        <w:spacing w:line="360" w:lineRule="auto"/>
        <w:contextualSpacing/>
        <w:jc w:val="both"/>
        <w:rPr>
          <w:rFonts w:ascii="Arial" w:hAnsi="Arial" w:cs="Arial"/>
        </w:rPr>
      </w:pPr>
      <w:r w:rsidRPr="007F03BF">
        <w:rPr>
          <w:rFonts w:ascii="Arial" w:hAnsi="Arial" w:cs="Arial"/>
        </w:rPr>
        <w:t xml:space="preserve">Los </w:t>
      </w:r>
      <w:r w:rsidR="00C12F1E" w:rsidRPr="007F03BF">
        <w:rPr>
          <w:rFonts w:ascii="Arial" w:hAnsi="Arial" w:cs="Arial"/>
        </w:rPr>
        <w:t>28</w:t>
      </w:r>
      <w:r w:rsidRPr="007F03BF">
        <w:rPr>
          <w:rFonts w:ascii="Arial" w:hAnsi="Arial" w:cs="Arial"/>
        </w:rPr>
        <w:t xml:space="preserve"> sujetos obligados evaluados se integran por: </w:t>
      </w:r>
      <w:r w:rsidR="00C12F1E" w:rsidRPr="007F03BF">
        <w:rPr>
          <w:rFonts w:ascii="Arial" w:hAnsi="Arial" w:cs="Arial"/>
        </w:rPr>
        <w:t>4</w:t>
      </w:r>
      <w:r w:rsidRPr="007F03BF">
        <w:rPr>
          <w:rFonts w:ascii="Arial" w:hAnsi="Arial" w:cs="Arial"/>
        </w:rPr>
        <w:t xml:space="preserve"> sujetos pertenecientes a la Administración Central, </w:t>
      </w:r>
      <w:r w:rsidR="00C12F1E" w:rsidRPr="007F03BF">
        <w:rPr>
          <w:rFonts w:ascii="Arial" w:hAnsi="Arial" w:cs="Arial"/>
        </w:rPr>
        <w:t>7</w:t>
      </w:r>
      <w:r w:rsidRPr="007F03BF">
        <w:rPr>
          <w:rFonts w:ascii="Arial" w:hAnsi="Arial" w:cs="Arial"/>
        </w:rPr>
        <w:t xml:space="preserve"> al ámbito de Órganos Desconcentrados, Fondos y Fideicomisos, 1</w:t>
      </w:r>
      <w:r w:rsidR="00C12F1E" w:rsidRPr="007F03BF">
        <w:rPr>
          <w:rFonts w:ascii="Arial" w:hAnsi="Arial" w:cs="Arial"/>
        </w:rPr>
        <w:t>4</w:t>
      </w:r>
      <w:r w:rsidRPr="007F03BF">
        <w:rPr>
          <w:rFonts w:ascii="Arial" w:hAnsi="Arial" w:cs="Arial"/>
        </w:rPr>
        <w:t xml:space="preserve"> a las </w:t>
      </w:r>
      <w:r w:rsidR="00D71D7B" w:rsidRPr="007F03BF">
        <w:rPr>
          <w:rFonts w:ascii="Arial" w:hAnsi="Arial" w:cs="Arial"/>
        </w:rPr>
        <w:t>Demarcaciones Territoriales</w:t>
      </w:r>
      <w:r w:rsidRPr="007F03BF">
        <w:rPr>
          <w:rFonts w:ascii="Arial" w:hAnsi="Arial" w:cs="Arial"/>
        </w:rPr>
        <w:t xml:space="preserve">, </w:t>
      </w:r>
      <w:r w:rsidR="00C12F1E" w:rsidRPr="007F03BF">
        <w:rPr>
          <w:rFonts w:ascii="Arial" w:hAnsi="Arial" w:cs="Arial"/>
        </w:rPr>
        <w:t>1</w:t>
      </w:r>
      <w:r w:rsidRPr="007F03BF">
        <w:rPr>
          <w:rFonts w:ascii="Arial" w:hAnsi="Arial" w:cs="Arial"/>
        </w:rPr>
        <w:t xml:space="preserve"> sujeto obligado del Poder Legislativo, </w:t>
      </w:r>
      <w:r w:rsidR="00C12F1E" w:rsidRPr="007F03BF">
        <w:rPr>
          <w:rFonts w:ascii="Arial" w:hAnsi="Arial" w:cs="Arial"/>
        </w:rPr>
        <w:t>1</w:t>
      </w:r>
      <w:r w:rsidRPr="007F03BF">
        <w:rPr>
          <w:rFonts w:ascii="Arial" w:hAnsi="Arial" w:cs="Arial"/>
        </w:rPr>
        <w:t xml:space="preserve"> Órgano Autónomo,</w:t>
      </w:r>
      <w:r w:rsidR="00C6090F" w:rsidRPr="007F03BF">
        <w:rPr>
          <w:rFonts w:ascii="Arial" w:hAnsi="Arial" w:cs="Arial"/>
        </w:rPr>
        <w:t xml:space="preserve"> y</w:t>
      </w:r>
      <w:r w:rsidRPr="007F03BF">
        <w:rPr>
          <w:rFonts w:ascii="Arial" w:hAnsi="Arial" w:cs="Arial"/>
        </w:rPr>
        <w:t xml:space="preserve"> </w:t>
      </w:r>
      <w:r w:rsidR="00C12F1E" w:rsidRPr="007F03BF">
        <w:rPr>
          <w:rFonts w:ascii="Arial" w:hAnsi="Arial" w:cs="Arial"/>
        </w:rPr>
        <w:t>1</w:t>
      </w:r>
      <w:r w:rsidRPr="007F03BF">
        <w:rPr>
          <w:rFonts w:ascii="Arial" w:hAnsi="Arial" w:cs="Arial"/>
        </w:rPr>
        <w:t xml:space="preserve"> Sindicato. </w:t>
      </w:r>
      <w:r w:rsidRPr="007F03BF">
        <w:rPr>
          <w:rFonts w:ascii="Arial" w:hAnsi="Arial" w:cs="Arial"/>
          <w:b/>
          <w:color w:val="000000" w:themeColor="text1"/>
        </w:rPr>
        <w:br w:type="page"/>
      </w:r>
    </w:p>
    <w:p w14:paraId="364AA805" w14:textId="77777777" w:rsidR="00443C3B" w:rsidRPr="007F03BF" w:rsidRDefault="00FF7BD9" w:rsidP="00443C3B">
      <w:pPr>
        <w:pStyle w:val="Ttulo1"/>
        <w:contextualSpacing/>
        <w:rPr>
          <w:rFonts w:ascii="Arial" w:hAnsi="Arial" w:cs="Arial"/>
          <w:b/>
          <w:color w:val="000000" w:themeColor="text1"/>
          <w:sz w:val="24"/>
          <w:szCs w:val="24"/>
        </w:rPr>
      </w:pPr>
      <w:bookmarkStart w:id="2" w:name="_Toc39683988"/>
      <w:r w:rsidRPr="007F03BF">
        <w:rPr>
          <w:rFonts w:ascii="Arial" w:hAnsi="Arial" w:cs="Arial"/>
          <w:b/>
          <w:color w:val="000000" w:themeColor="text1"/>
          <w:sz w:val="24"/>
          <w:szCs w:val="24"/>
        </w:rPr>
        <w:lastRenderedPageBreak/>
        <w:t>ANTECEDENTES</w:t>
      </w:r>
      <w:bookmarkEnd w:id="2"/>
    </w:p>
    <w:p w14:paraId="6E175065" w14:textId="77777777" w:rsidR="0074287C" w:rsidRPr="007F03BF" w:rsidRDefault="0074287C" w:rsidP="0074287C">
      <w:pPr>
        <w:autoSpaceDE w:val="0"/>
        <w:autoSpaceDN w:val="0"/>
        <w:adjustRightInd w:val="0"/>
        <w:spacing w:line="360" w:lineRule="auto"/>
        <w:jc w:val="both"/>
        <w:rPr>
          <w:rFonts w:ascii="Arial" w:hAnsi="Arial" w:cs="Arial"/>
          <w:color w:val="000000" w:themeColor="text1"/>
        </w:rPr>
      </w:pPr>
    </w:p>
    <w:p w14:paraId="0260BFEA" w14:textId="1595CD55" w:rsidR="0074287C" w:rsidRPr="007F03BF" w:rsidRDefault="0074287C" w:rsidP="0074287C">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t xml:space="preserve">Durante el primer trimestre del año dos mil diecinueve, el Pleno del Instituto aprobó incorporar 35 (treinta y cinco) obligados al </w:t>
      </w:r>
      <w:r w:rsidRPr="007F03BF">
        <w:rPr>
          <w:rFonts w:ascii="Arial" w:hAnsi="Arial" w:cs="Arial"/>
        </w:rPr>
        <w:t>Padrón de Sujetos Obligados supeditados al cumplimiento de la Ley de Transparencia, Acceso a la Información Pública y Rendición de Cuentas de la Ciudad de México</w:t>
      </w:r>
      <w:r w:rsidRPr="007F03BF" w:rsidDel="005B5D1B">
        <w:rPr>
          <w:rFonts w:ascii="Arial" w:hAnsi="Arial" w:cs="Arial"/>
        </w:rPr>
        <w:t xml:space="preserve"> </w:t>
      </w:r>
      <w:r w:rsidRPr="007F03BF">
        <w:rPr>
          <w:rFonts w:ascii="Arial" w:hAnsi="Arial" w:cs="Arial"/>
        </w:rPr>
        <w:t xml:space="preserve">y de la Ley de Protección de Datos Personales en Posesión de los Sujetos Obligados de la Ciudad de México (Padrón); los cuales están distribuidos de la siguiente forma: ocho dependencias de la administración pública central, ocho órganos desconcentrados o paraestatales, dieciséis demarcaciones políticas, un órgano del poder legislativo, un órgano autónomo y un sindicato. </w:t>
      </w:r>
    </w:p>
    <w:p w14:paraId="5E11D727" w14:textId="77777777" w:rsidR="0074287C" w:rsidRPr="007F03BF" w:rsidRDefault="0074287C" w:rsidP="0074287C">
      <w:pPr>
        <w:autoSpaceDE w:val="0"/>
        <w:autoSpaceDN w:val="0"/>
        <w:adjustRightInd w:val="0"/>
        <w:spacing w:line="360" w:lineRule="auto"/>
        <w:jc w:val="both"/>
        <w:rPr>
          <w:rFonts w:ascii="Arial" w:hAnsi="Arial" w:cs="Arial"/>
          <w:color w:val="000000" w:themeColor="text1"/>
        </w:rPr>
      </w:pPr>
    </w:p>
    <w:p w14:paraId="070B4EEE" w14:textId="1B5F3FE2" w:rsidR="0074287C" w:rsidRPr="007F03BF" w:rsidRDefault="0074287C" w:rsidP="0074287C">
      <w:pPr>
        <w:autoSpaceDE w:val="0"/>
        <w:autoSpaceDN w:val="0"/>
        <w:adjustRightInd w:val="0"/>
        <w:spacing w:line="360" w:lineRule="auto"/>
        <w:jc w:val="both"/>
        <w:rPr>
          <w:rFonts w:ascii="Arial" w:hAnsi="Arial" w:cs="Arial"/>
        </w:rPr>
      </w:pPr>
      <w:r w:rsidRPr="007F03BF">
        <w:rPr>
          <w:rFonts w:ascii="Arial" w:hAnsi="Arial" w:cs="Arial"/>
        </w:rPr>
        <w:t xml:space="preserve">Los 35 sujetos obligados incorporados al referido padrón durante ese periodo se muestran en la siguiente tabla, organizados por el ámbito en el que se clasifican, y con referencia a la fecha </w:t>
      </w:r>
      <w:r w:rsidR="00D47F3C" w:rsidRPr="007F03BF">
        <w:rPr>
          <w:rFonts w:ascii="Arial" w:hAnsi="Arial" w:cs="Arial"/>
        </w:rPr>
        <w:t xml:space="preserve">y </w:t>
      </w:r>
      <w:r w:rsidRPr="007F03BF">
        <w:rPr>
          <w:rFonts w:ascii="Arial" w:hAnsi="Arial" w:cs="Arial"/>
        </w:rPr>
        <w:t>el acuerdo de incorporación correspondientes.</w:t>
      </w:r>
    </w:p>
    <w:p w14:paraId="35BBF0E7" w14:textId="77777777" w:rsidR="0074287C" w:rsidRPr="007F03BF" w:rsidRDefault="0074287C" w:rsidP="0074287C">
      <w:pPr>
        <w:autoSpaceDE w:val="0"/>
        <w:autoSpaceDN w:val="0"/>
        <w:adjustRightInd w:val="0"/>
        <w:spacing w:line="360" w:lineRule="auto"/>
        <w:jc w:val="both"/>
        <w:rPr>
          <w:rFonts w:ascii="Arial" w:hAnsi="Arial" w:cs="Arial"/>
          <w:color w:val="000000" w:themeColor="text1"/>
        </w:rPr>
      </w:pPr>
    </w:p>
    <w:tbl>
      <w:tblPr>
        <w:tblW w:w="8949" w:type="dxa"/>
        <w:tblInd w:w="-5" w:type="dxa"/>
        <w:tblLayout w:type="fixed"/>
        <w:tblCellMar>
          <w:left w:w="70" w:type="dxa"/>
          <w:right w:w="70" w:type="dxa"/>
        </w:tblCellMar>
        <w:tblLook w:val="04A0" w:firstRow="1" w:lastRow="0" w:firstColumn="1" w:lastColumn="0" w:noHBand="0" w:noVBand="1"/>
      </w:tblPr>
      <w:tblGrid>
        <w:gridCol w:w="567"/>
        <w:gridCol w:w="2835"/>
        <w:gridCol w:w="2552"/>
        <w:gridCol w:w="1843"/>
        <w:gridCol w:w="1152"/>
      </w:tblGrid>
      <w:tr w:rsidR="0074287C" w:rsidRPr="007F03BF" w14:paraId="102AD019" w14:textId="77777777" w:rsidTr="00A43BF1">
        <w:trPr>
          <w:trHeight w:val="340"/>
          <w:tblHeader/>
        </w:trPr>
        <w:tc>
          <w:tcPr>
            <w:tcW w:w="567" w:type="dxa"/>
            <w:tcBorders>
              <w:top w:val="single" w:sz="4" w:space="0" w:color="auto"/>
              <w:left w:val="single" w:sz="4" w:space="0" w:color="auto"/>
              <w:bottom w:val="single" w:sz="4" w:space="0" w:color="auto"/>
              <w:right w:val="single" w:sz="4" w:space="0" w:color="auto"/>
            </w:tcBorders>
            <w:shd w:val="clear" w:color="auto" w:fill="008E88"/>
            <w:vAlign w:val="center"/>
            <w:hideMark/>
          </w:tcPr>
          <w:p w14:paraId="1D8764EA" w14:textId="77777777" w:rsidR="0074287C" w:rsidRPr="007F03BF" w:rsidRDefault="0074287C" w:rsidP="00A43BF1">
            <w:pPr>
              <w:jc w:val="center"/>
              <w:rPr>
                <w:rFonts w:ascii="Arial" w:hAnsi="Arial" w:cs="Arial"/>
                <w:b/>
                <w:bCs/>
                <w:color w:val="000000"/>
                <w:sz w:val="18"/>
                <w:szCs w:val="18"/>
                <w:lang w:eastAsia="es-ES_tradnl"/>
              </w:rPr>
            </w:pPr>
            <w:r w:rsidRPr="007F03BF">
              <w:rPr>
                <w:rFonts w:ascii="Arial" w:hAnsi="Arial" w:cs="Arial"/>
                <w:b/>
                <w:bCs/>
                <w:color w:val="000000"/>
                <w:sz w:val="18"/>
                <w:szCs w:val="18"/>
                <w:lang w:eastAsia="es-ES_tradnl"/>
              </w:rPr>
              <w:t>No.</w:t>
            </w:r>
          </w:p>
        </w:tc>
        <w:tc>
          <w:tcPr>
            <w:tcW w:w="2835" w:type="dxa"/>
            <w:tcBorders>
              <w:top w:val="single" w:sz="4" w:space="0" w:color="auto"/>
              <w:left w:val="nil"/>
              <w:bottom w:val="single" w:sz="4" w:space="0" w:color="auto"/>
              <w:right w:val="single" w:sz="4" w:space="0" w:color="auto"/>
            </w:tcBorders>
            <w:shd w:val="clear" w:color="auto" w:fill="008E88"/>
            <w:vAlign w:val="center"/>
            <w:hideMark/>
          </w:tcPr>
          <w:p w14:paraId="6E371B1B" w14:textId="77777777" w:rsidR="0074287C" w:rsidRPr="007F03BF" w:rsidRDefault="0074287C" w:rsidP="00A43BF1">
            <w:pPr>
              <w:jc w:val="center"/>
              <w:rPr>
                <w:rFonts w:ascii="Arial" w:hAnsi="Arial" w:cs="Arial"/>
                <w:b/>
                <w:bCs/>
                <w:color w:val="000000"/>
                <w:sz w:val="18"/>
                <w:szCs w:val="18"/>
                <w:lang w:eastAsia="es-ES_tradnl"/>
              </w:rPr>
            </w:pPr>
            <w:r w:rsidRPr="007F03BF">
              <w:rPr>
                <w:rFonts w:ascii="Arial" w:hAnsi="Arial" w:cs="Arial"/>
                <w:b/>
                <w:bCs/>
                <w:color w:val="000000"/>
                <w:sz w:val="18"/>
                <w:szCs w:val="18"/>
                <w:lang w:eastAsia="es-ES_tradnl"/>
              </w:rPr>
              <w:t>Denominación del sujeto obligado</w:t>
            </w:r>
          </w:p>
        </w:tc>
        <w:tc>
          <w:tcPr>
            <w:tcW w:w="2552" w:type="dxa"/>
            <w:tcBorders>
              <w:top w:val="single" w:sz="4" w:space="0" w:color="auto"/>
              <w:left w:val="nil"/>
              <w:bottom w:val="single" w:sz="4" w:space="0" w:color="auto"/>
              <w:right w:val="single" w:sz="4" w:space="0" w:color="auto"/>
            </w:tcBorders>
            <w:shd w:val="clear" w:color="auto" w:fill="008E88"/>
            <w:vAlign w:val="center"/>
            <w:hideMark/>
          </w:tcPr>
          <w:p w14:paraId="5317D132" w14:textId="77777777" w:rsidR="0074287C" w:rsidRPr="007F03BF" w:rsidRDefault="0074287C" w:rsidP="00A43BF1">
            <w:pPr>
              <w:jc w:val="center"/>
              <w:rPr>
                <w:rFonts w:ascii="Arial" w:hAnsi="Arial" w:cs="Arial"/>
                <w:b/>
                <w:bCs/>
                <w:color w:val="000000"/>
                <w:sz w:val="18"/>
                <w:szCs w:val="18"/>
                <w:lang w:eastAsia="es-ES_tradnl"/>
              </w:rPr>
            </w:pPr>
            <w:r w:rsidRPr="007F03BF">
              <w:rPr>
                <w:rFonts w:ascii="Arial" w:hAnsi="Arial" w:cs="Arial"/>
                <w:b/>
                <w:bCs/>
                <w:color w:val="000000"/>
                <w:sz w:val="18"/>
                <w:szCs w:val="18"/>
                <w:lang w:eastAsia="es-ES_tradnl"/>
              </w:rPr>
              <w:t>Ámbito</w:t>
            </w:r>
          </w:p>
        </w:tc>
        <w:tc>
          <w:tcPr>
            <w:tcW w:w="1843" w:type="dxa"/>
            <w:tcBorders>
              <w:top w:val="single" w:sz="4" w:space="0" w:color="auto"/>
              <w:left w:val="nil"/>
              <w:bottom w:val="single" w:sz="4" w:space="0" w:color="auto"/>
              <w:right w:val="single" w:sz="4" w:space="0" w:color="auto"/>
            </w:tcBorders>
            <w:shd w:val="clear" w:color="auto" w:fill="008E88"/>
            <w:vAlign w:val="center"/>
            <w:hideMark/>
          </w:tcPr>
          <w:p w14:paraId="53C144B4" w14:textId="77777777" w:rsidR="0074287C" w:rsidRPr="007F03BF" w:rsidRDefault="0074287C" w:rsidP="00A43BF1">
            <w:pPr>
              <w:jc w:val="center"/>
              <w:rPr>
                <w:rFonts w:ascii="Arial" w:hAnsi="Arial" w:cs="Arial"/>
                <w:b/>
                <w:color w:val="000000"/>
                <w:sz w:val="18"/>
                <w:szCs w:val="18"/>
                <w:lang w:eastAsia="es-ES_tradnl"/>
              </w:rPr>
            </w:pPr>
            <w:r w:rsidRPr="007F03BF">
              <w:rPr>
                <w:rFonts w:ascii="Arial" w:hAnsi="Arial" w:cs="Arial"/>
                <w:b/>
                <w:color w:val="000000"/>
                <w:sz w:val="18"/>
                <w:szCs w:val="18"/>
                <w:lang w:eastAsia="es-ES_tradnl"/>
              </w:rPr>
              <w:t>Acuerdo de incorporación al Padrón</w:t>
            </w:r>
          </w:p>
        </w:tc>
        <w:tc>
          <w:tcPr>
            <w:tcW w:w="1152" w:type="dxa"/>
            <w:tcBorders>
              <w:top w:val="single" w:sz="4" w:space="0" w:color="auto"/>
              <w:left w:val="nil"/>
              <w:bottom w:val="single" w:sz="4" w:space="0" w:color="auto"/>
              <w:right w:val="single" w:sz="4" w:space="0" w:color="auto"/>
            </w:tcBorders>
            <w:shd w:val="clear" w:color="auto" w:fill="008E88"/>
            <w:vAlign w:val="center"/>
            <w:hideMark/>
          </w:tcPr>
          <w:p w14:paraId="3875898E" w14:textId="77777777" w:rsidR="0074287C" w:rsidRPr="007F03BF" w:rsidRDefault="0074287C" w:rsidP="00A43BF1">
            <w:pPr>
              <w:jc w:val="center"/>
              <w:rPr>
                <w:rFonts w:ascii="Arial" w:hAnsi="Arial" w:cs="Arial"/>
                <w:b/>
                <w:bCs/>
                <w:sz w:val="18"/>
                <w:szCs w:val="18"/>
                <w:lang w:eastAsia="es-ES_tradnl"/>
              </w:rPr>
            </w:pPr>
            <w:r w:rsidRPr="007F03BF">
              <w:rPr>
                <w:rFonts w:ascii="Arial" w:hAnsi="Arial" w:cs="Arial"/>
                <w:b/>
                <w:bCs/>
                <w:sz w:val="18"/>
                <w:szCs w:val="18"/>
                <w:lang w:eastAsia="es-ES_tradnl"/>
              </w:rPr>
              <w:t>Fecha</w:t>
            </w:r>
          </w:p>
        </w:tc>
      </w:tr>
      <w:tr w:rsidR="0074287C" w:rsidRPr="007F03BF" w14:paraId="35D16C43"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57E1BCF"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1</w:t>
            </w:r>
          </w:p>
        </w:tc>
        <w:tc>
          <w:tcPr>
            <w:tcW w:w="2835" w:type="dxa"/>
            <w:tcBorders>
              <w:top w:val="nil"/>
              <w:left w:val="nil"/>
              <w:bottom w:val="single" w:sz="4" w:space="0" w:color="auto"/>
              <w:right w:val="single" w:sz="4" w:space="0" w:color="auto"/>
            </w:tcBorders>
            <w:shd w:val="clear" w:color="000000" w:fill="FFFFFF"/>
            <w:vAlign w:val="center"/>
            <w:hideMark/>
          </w:tcPr>
          <w:p w14:paraId="61FDAE09"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Secretaría de Administración y Finanzas</w:t>
            </w:r>
          </w:p>
        </w:tc>
        <w:tc>
          <w:tcPr>
            <w:tcW w:w="2552" w:type="dxa"/>
            <w:tcBorders>
              <w:top w:val="nil"/>
              <w:left w:val="nil"/>
              <w:bottom w:val="single" w:sz="4" w:space="0" w:color="auto"/>
              <w:right w:val="single" w:sz="4" w:space="0" w:color="auto"/>
            </w:tcBorders>
            <w:shd w:val="clear" w:color="000000" w:fill="FFFFFF"/>
            <w:vAlign w:val="center"/>
            <w:hideMark/>
          </w:tcPr>
          <w:p w14:paraId="5C0A874E"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Administración Pública Central</w:t>
            </w:r>
          </w:p>
        </w:tc>
        <w:tc>
          <w:tcPr>
            <w:tcW w:w="1843" w:type="dxa"/>
            <w:tcBorders>
              <w:top w:val="nil"/>
              <w:left w:val="nil"/>
              <w:bottom w:val="single" w:sz="4" w:space="0" w:color="auto"/>
              <w:right w:val="single" w:sz="4" w:space="0" w:color="auto"/>
            </w:tcBorders>
            <w:shd w:val="clear" w:color="000000" w:fill="FFFFFF"/>
            <w:vAlign w:val="center"/>
            <w:hideMark/>
          </w:tcPr>
          <w:p w14:paraId="1AF594BA" w14:textId="77777777" w:rsidR="0074287C" w:rsidRPr="007F03BF" w:rsidRDefault="003C7D67" w:rsidP="00A43BF1">
            <w:pPr>
              <w:jc w:val="center"/>
              <w:rPr>
                <w:rFonts w:ascii="Arial" w:hAnsi="Arial" w:cs="Arial"/>
                <w:b/>
                <w:color w:val="000000"/>
                <w:sz w:val="18"/>
                <w:szCs w:val="18"/>
                <w:lang w:eastAsia="es-ES_tradnl"/>
              </w:rPr>
            </w:pPr>
            <w:hyperlink r:id="rId11" w:tgtFrame="_Blank" w:history="1">
              <w:r w:rsidR="0074287C" w:rsidRPr="007F03BF">
                <w:rPr>
                  <w:rFonts w:ascii="Arial" w:hAnsi="Arial" w:cs="Arial"/>
                  <w:b/>
                  <w:color w:val="000000"/>
                  <w:sz w:val="18"/>
                  <w:szCs w:val="18"/>
                  <w:lang w:eastAsia="es-ES_tradnl"/>
                </w:rPr>
                <w:br/>
                <w:t>0106/SO/30-01/2019</w:t>
              </w:r>
            </w:hyperlink>
          </w:p>
          <w:p w14:paraId="5A5771CB" w14:textId="77777777" w:rsidR="0074287C" w:rsidRPr="007F03BF" w:rsidRDefault="0074287C" w:rsidP="00A43BF1">
            <w:pPr>
              <w:jc w:val="center"/>
              <w:rPr>
                <w:rFonts w:ascii="Arial" w:hAnsi="Arial" w:cs="Arial"/>
                <w:b/>
                <w:color w:val="000000"/>
                <w:sz w:val="18"/>
                <w:szCs w:val="18"/>
                <w:lang w:eastAsia="es-ES_tradnl"/>
              </w:rPr>
            </w:pPr>
          </w:p>
        </w:tc>
        <w:tc>
          <w:tcPr>
            <w:tcW w:w="1152" w:type="dxa"/>
            <w:tcBorders>
              <w:top w:val="nil"/>
              <w:left w:val="nil"/>
              <w:bottom w:val="single" w:sz="4" w:space="0" w:color="auto"/>
              <w:right w:val="single" w:sz="4" w:space="0" w:color="auto"/>
            </w:tcBorders>
            <w:shd w:val="clear" w:color="000000" w:fill="FFFFFF"/>
            <w:vAlign w:val="center"/>
            <w:hideMark/>
          </w:tcPr>
          <w:p w14:paraId="67B56ADC"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5A7B1B41" w14:textId="77777777" w:rsidTr="00A43BF1">
        <w:trPr>
          <w:trHeight w:val="68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E332739"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2</w:t>
            </w:r>
          </w:p>
        </w:tc>
        <w:tc>
          <w:tcPr>
            <w:tcW w:w="2835" w:type="dxa"/>
            <w:tcBorders>
              <w:top w:val="nil"/>
              <w:left w:val="nil"/>
              <w:bottom w:val="single" w:sz="4" w:space="0" w:color="auto"/>
              <w:right w:val="single" w:sz="4" w:space="0" w:color="auto"/>
            </w:tcBorders>
            <w:shd w:val="clear" w:color="000000" w:fill="FFFFFF"/>
            <w:vAlign w:val="center"/>
            <w:hideMark/>
          </w:tcPr>
          <w:p w14:paraId="4B748A3A"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Secretaría de Gestión Integral de Riesgos y Protección Civil</w:t>
            </w:r>
          </w:p>
        </w:tc>
        <w:tc>
          <w:tcPr>
            <w:tcW w:w="2552" w:type="dxa"/>
            <w:tcBorders>
              <w:top w:val="nil"/>
              <w:left w:val="nil"/>
              <w:bottom w:val="single" w:sz="4" w:space="0" w:color="auto"/>
              <w:right w:val="single" w:sz="4" w:space="0" w:color="auto"/>
            </w:tcBorders>
            <w:shd w:val="clear" w:color="000000" w:fill="FFFFFF"/>
            <w:vAlign w:val="center"/>
            <w:hideMark/>
          </w:tcPr>
          <w:p w14:paraId="50E7A8B6"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Administración Pública Central</w:t>
            </w:r>
          </w:p>
        </w:tc>
        <w:tc>
          <w:tcPr>
            <w:tcW w:w="1843" w:type="dxa"/>
            <w:tcBorders>
              <w:top w:val="nil"/>
              <w:left w:val="nil"/>
              <w:bottom w:val="single" w:sz="4" w:space="0" w:color="auto"/>
              <w:right w:val="single" w:sz="4" w:space="0" w:color="auto"/>
            </w:tcBorders>
            <w:shd w:val="clear" w:color="000000" w:fill="FFFFFF"/>
            <w:vAlign w:val="center"/>
            <w:hideMark/>
          </w:tcPr>
          <w:p w14:paraId="62403F8F" w14:textId="77777777" w:rsidR="0074287C" w:rsidRPr="007F03BF" w:rsidRDefault="003C7D67" w:rsidP="00A43BF1">
            <w:pPr>
              <w:jc w:val="center"/>
              <w:rPr>
                <w:rFonts w:ascii="Arial" w:hAnsi="Arial" w:cs="Arial"/>
                <w:b/>
                <w:color w:val="000000"/>
                <w:sz w:val="18"/>
                <w:szCs w:val="18"/>
                <w:lang w:eastAsia="es-ES_tradnl"/>
              </w:rPr>
            </w:pPr>
            <w:hyperlink r:id="rId12" w:tgtFrame="_Blank" w:history="1">
              <w:r w:rsidR="0074287C" w:rsidRPr="007F03BF">
                <w:rPr>
                  <w:rFonts w:ascii="Arial" w:hAnsi="Arial" w:cs="Arial"/>
                  <w:b/>
                  <w:color w:val="000000"/>
                  <w:sz w:val="18"/>
                  <w:szCs w:val="18"/>
                  <w:lang w:eastAsia="es-ES_tradnl"/>
                </w:rPr>
                <w:br/>
                <w:t>0106/SO/30-01/2019</w:t>
              </w:r>
            </w:hyperlink>
          </w:p>
          <w:p w14:paraId="55D32AF0" w14:textId="77777777" w:rsidR="0074287C" w:rsidRPr="007F03BF" w:rsidRDefault="0074287C" w:rsidP="00A43BF1">
            <w:pPr>
              <w:jc w:val="center"/>
              <w:rPr>
                <w:rFonts w:ascii="Arial" w:hAnsi="Arial" w:cs="Arial"/>
                <w:b/>
                <w:color w:val="000000"/>
                <w:sz w:val="18"/>
                <w:szCs w:val="18"/>
                <w:lang w:eastAsia="es-ES_tradnl"/>
              </w:rPr>
            </w:pPr>
          </w:p>
        </w:tc>
        <w:tc>
          <w:tcPr>
            <w:tcW w:w="1152" w:type="dxa"/>
            <w:tcBorders>
              <w:top w:val="nil"/>
              <w:left w:val="nil"/>
              <w:bottom w:val="single" w:sz="4" w:space="0" w:color="auto"/>
              <w:right w:val="single" w:sz="4" w:space="0" w:color="auto"/>
            </w:tcBorders>
            <w:shd w:val="clear" w:color="000000" w:fill="FFFFFF"/>
            <w:vAlign w:val="center"/>
            <w:hideMark/>
          </w:tcPr>
          <w:p w14:paraId="212318CC"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2787C243"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FD181F4"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3</w:t>
            </w:r>
          </w:p>
        </w:tc>
        <w:tc>
          <w:tcPr>
            <w:tcW w:w="2835" w:type="dxa"/>
            <w:tcBorders>
              <w:top w:val="nil"/>
              <w:left w:val="nil"/>
              <w:bottom w:val="single" w:sz="4" w:space="0" w:color="auto"/>
              <w:right w:val="single" w:sz="4" w:space="0" w:color="auto"/>
            </w:tcBorders>
            <w:shd w:val="clear" w:color="000000" w:fill="FFFFFF"/>
            <w:vAlign w:val="center"/>
            <w:hideMark/>
          </w:tcPr>
          <w:p w14:paraId="63733259"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Secretaría de la Contraloría General </w:t>
            </w:r>
          </w:p>
        </w:tc>
        <w:tc>
          <w:tcPr>
            <w:tcW w:w="2552" w:type="dxa"/>
            <w:tcBorders>
              <w:top w:val="nil"/>
              <w:left w:val="nil"/>
              <w:bottom w:val="single" w:sz="4" w:space="0" w:color="auto"/>
              <w:right w:val="single" w:sz="4" w:space="0" w:color="auto"/>
            </w:tcBorders>
            <w:shd w:val="clear" w:color="000000" w:fill="FFFFFF"/>
            <w:vAlign w:val="center"/>
            <w:hideMark/>
          </w:tcPr>
          <w:p w14:paraId="555F6FD3"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Administración Pública Central</w:t>
            </w:r>
          </w:p>
        </w:tc>
        <w:tc>
          <w:tcPr>
            <w:tcW w:w="1843" w:type="dxa"/>
            <w:tcBorders>
              <w:top w:val="nil"/>
              <w:left w:val="nil"/>
              <w:bottom w:val="single" w:sz="4" w:space="0" w:color="auto"/>
              <w:right w:val="single" w:sz="4" w:space="0" w:color="auto"/>
            </w:tcBorders>
            <w:shd w:val="clear" w:color="000000" w:fill="FFFFFF"/>
            <w:vAlign w:val="center"/>
            <w:hideMark/>
          </w:tcPr>
          <w:p w14:paraId="4951D648" w14:textId="77777777" w:rsidR="0074287C" w:rsidRPr="007F03BF" w:rsidRDefault="003C7D67" w:rsidP="00A43BF1">
            <w:pPr>
              <w:jc w:val="center"/>
              <w:rPr>
                <w:rFonts w:ascii="Arial" w:hAnsi="Arial" w:cs="Arial"/>
                <w:b/>
                <w:color w:val="000000"/>
                <w:sz w:val="18"/>
                <w:szCs w:val="18"/>
                <w:lang w:eastAsia="es-ES_tradnl"/>
              </w:rPr>
            </w:pPr>
            <w:hyperlink r:id="rId13" w:tgtFrame="_Blank" w:history="1">
              <w:r w:rsidR="0074287C" w:rsidRPr="007F03BF">
                <w:rPr>
                  <w:rFonts w:ascii="Arial" w:hAnsi="Arial" w:cs="Arial"/>
                  <w:b/>
                  <w:color w:val="000000"/>
                  <w:sz w:val="18"/>
                  <w:szCs w:val="18"/>
                  <w:lang w:eastAsia="es-ES_tradnl"/>
                </w:rPr>
                <w:br/>
                <w:t>0106/SO/30-01/2019</w:t>
              </w:r>
            </w:hyperlink>
          </w:p>
          <w:p w14:paraId="63965FD2" w14:textId="77777777" w:rsidR="0074287C" w:rsidRPr="007F03BF" w:rsidRDefault="0074287C" w:rsidP="00A43BF1">
            <w:pPr>
              <w:jc w:val="center"/>
              <w:rPr>
                <w:rFonts w:ascii="Arial" w:hAnsi="Arial" w:cs="Arial"/>
                <w:b/>
                <w:color w:val="000000"/>
                <w:sz w:val="18"/>
                <w:szCs w:val="18"/>
                <w:lang w:eastAsia="es-ES_tradnl"/>
              </w:rPr>
            </w:pPr>
          </w:p>
        </w:tc>
        <w:tc>
          <w:tcPr>
            <w:tcW w:w="1152" w:type="dxa"/>
            <w:tcBorders>
              <w:top w:val="nil"/>
              <w:left w:val="nil"/>
              <w:bottom w:val="single" w:sz="4" w:space="0" w:color="auto"/>
              <w:right w:val="single" w:sz="4" w:space="0" w:color="auto"/>
            </w:tcBorders>
            <w:shd w:val="clear" w:color="000000" w:fill="FFFFFF"/>
            <w:vAlign w:val="center"/>
            <w:hideMark/>
          </w:tcPr>
          <w:p w14:paraId="1AE6E910"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050A6C68"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E3447B4"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4</w:t>
            </w:r>
          </w:p>
        </w:tc>
        <w:tc>
          <w:tcPr>
            <w:tcW w:w="2835" w:type="dxa"/>
            <w:tcBorders>
              <w:top w:val="nil"/>
              <w:left w:val="nil"/>
              <w:bottom w:val="single" w:sz="4" w:space="0" w:color="auto"/>
              <w:right w:val="single" w:sz="4" w:space="0" w:color="auto"/>
            </w:tcBorders>
            <w:shd w:val="clear" w:color="000000" w:fill="FFFFFF"/>
            <w:vAlign w:val="center"/>
            <w:hideMark/>
          </w:tcPr>
          <w:p w14:paraId="56AF832E"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Secretaría de Seguridad Ciudadana</w:t>
            </w:r>
          </w:p>
        </w:tc>
        <w:tc>
          <w:tcPr>
            <w:tcW w:w="2552" w:type="dxa"/>
            <w:tcBorders>
              <w:top w:val="nil"/>
              <w:left w:val="nil"/>
              <w:bottom w:val="single" w:sz="4" w:space="0" w:color="auto"/>
              <w:right w:val="single" w:sz="4" w:space="0" w:color="auto"/>
            </w:tcBorders>
            <w:shd w:val="clear" w:color="000000" w:fill="FFFFFF"/>
            <w:vAlign w:val="center"/>
            <w:hideMark/>
          </w:tcPr>
          <w:p w14:paraId="26485DCB"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Administración Pública Central</w:t>
            </w:r>
          </w:p>
        </w:tc>
        <w:tc>
          <w:tcPr>
            <w:tcW w:w="1843" w:type="dxa"/>
            <w:tcBorders>
              <w:top w:val="nil"/>
              <w:left w:val="nil"/>
              <w:bottom w:val="single" w:sz="4" w:space="0" w:color="auto"/>
              <w:right w:val="single" w:sz="4" w:space="0" w:color="auto"/>
            </w:tcBorders>
            <w:shd w:val="clear" w:color="000000" w:fill="FFFFFF"/>
            <w:vAlign w:val="center"/>
            <w:hideMark/>
          </w:tcPr>
          <w:p w14:paraId="414305AB" w14:textId="77777777" w:rsidR="0074287C" w:rsidRPr="007F03BF" w:rsidRDefault="003C7D67" w:rsidP="00A43BF1">
            <w:pPr>
              <w:jc w:val="center"/>
              <w:rPr>
                <w:rFonts w:ascii="Arial" w:hAnsi="Arial" w:cs="Arial"/>
                <w:b/>
                <w:color w:val="000000"/>
                <w:sz w:val="18"/>
                <w:szCs w:val="18"/>
                <w:lang w:eastAsia="es-ES_tradnl"/>
              </w:rPr>
            </w:pPr>
            <w:hyperlink r:id="rId14" w:tgtFrame="_Blank" w:history="1">
              <w:r w:rsidR="0074287C" w:rsidRPr="007F03BF">
                <w:rPr>
                  <w:rFonts w:ascii="Arial" w:hAnsi="Arial" w:cs="Arial"/>
                  <w:b/>
                  <w:color w:val="000000"/>
                  <w:sz w:val="18"/>
                  <w:szCs w:val="18"/>
                  <w:lang w:eastAsia="es-ES_tradnl"/>
                </w:rPr>
                <w:br/>
                <w:t>0106/SO/30-01/2019</w:t>
              </w:r>
            </w:hyperlink>
          </w:p>
          <w:p w14:paraId="433D518E" w14:textId="77777777" w:rsidR="0074287C" w:rsidRPr="007F03BF" w:rsidRDefault="0074287C" w:rsidP="00A43BF1">
            <w:pPr>
              <w:jc w:val="center"/>
              <w:rPr>
                <w:rFonts w:ascii="Arial" w:hAnsi="Arial" w:cs="Arial"/>
                <w:b/>
                <w:color w:val="000000"/>
                <w:sz w:val="18"/>
                <w:szCs w:val="18"/>
                <w:lang w:eastAsia="es-ES_tradnl"/>
              </w:rPr>
            </w:pPr>
          </w:p>
        </w:tc>
        <w:tc>
          <w:tcPr>
            <w:tcW w:w="1152" w:type="dxa"/>
            <w:tcBorders>
              <w:top w:val="nil"/>
              <w:left w:val="nil"/>
              <w:bottom w:val="single" w:sz="4" w:space="0" w:color="auto"/>
              <w:right w:val="single" w:sz="4" w:space="0" w:color="auto"/>
            </w:tcBorders>
            <w:shd w:val="clear" w:color="000000" w:fill="FFFFFF"/>
            <w:vAlign w:val="center"/>
            <w:hideMark/>
          </w:tcPr>
          <w:p w14:paraId="226E85A9"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555BF3C7" w14:textId="77777777" w:rsidTr="00A43BF1">
        <w:trPr>
          <w:trHeight w:val="68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BED743F"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5</w:t>
            </w:r>
          </w:p>
        </w:tc>
        <w:tc>
          <w:tcPr>
            <w:tcW w:w="2835" w:type="dxa"/>
            <w:tcBorders>
              <w:top w:val="nil"/>
              <w:left w:val="nil"/>
              <w:bottom w:val="single" w:sz="4" w:space="0" w:color="auto"/>
              <w:right w:val="single" w:sz="4" w:space="0" w:color="auto"/>
            </w:tcBorders>
            <w:shd w:val="clear" w:color="000000" w:fill="FFFFFF"/>
            <w:vAlign w:val="center"/>
            <w:hideMark/>
          </w:tcPr>
          <w:p w14:paraId="5F918401"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Secretaría de Educación, Ciencia, Tecnología e Innovación</w:t>
            </w:r>
          </w:p>
        </w:tc>
        <w:tc>
          <w:tcPr>
            <w:tcW w:w="2552" w:type="dxa"/>
            <w:tcBorders>
              <w:top w:val="nil"/>
              <w:left w:val="nil"/>
              <w:bottom w:val="single" w:sz="4" w:space="0" w:color="auto"/>
              <w:right w:val="single" w:sz="4" w:space="0" w:color="auto"/>
            </w:tcBorders>
            <w:shd w:val="clear" w:color="000000" w:fill="FFFFFF"/>
            <w:vAlign w:val="center"/>
            <w:hideMark/>
          </w:tcPr>
          <w:p w14:paraId="6C820296"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Administración Pública Central</w:t>
            </w:r>
          </w:p>
        </w:tc>
        <w:tc>
          <w:tcPr>
            <w:tcW w:w="1843" w:type="dxa"/>
            <w:tcBorders>
              <w:top w:val="nil"/>
              <w:left w:val="nil"/>
              <w:bottom w:val="single" w:sz="4" w:space="0" w:color="auto"/>
              <w:right w:val="single" w:sz="4" w:space="0" w:color="auto"/>
            </w:tcBorders>
            <w:shd w:val="clear" w:color="000000" w:fill="FFFFFF"/>
            <w:vAlign w:val="center"/>
            <w:hideMark/>
          </w:tcPr>
          <w:p w14:paraId="52AA27BB" w14:textId="77777777" w:rsidR="0074287C" w:rsidRPr="007F03BF" w:rsidRDefault="003C7D67" w:rsidP="00A43BF1">
            <w:pPr>
              <w:jc w:val="center"/>
              <w:rPr>
                <w:rFonts w:ascii="Arial" w:hAnsi="Arial" w:cs="Arial"/>
                <w:b/>
                <w:color w:val="000000"/>
                <w:sz w:val="18"/>
                <w:szCs w:val="18"/>
                <w:lang w:eastAsia="es-ES_tradnl"/>
              </w:rPr>
            </w:pPr>
            <w:hyperlink r:id="rId15" w:tgtFrame="_Blank" w:history="1">
              <w:r w:rsidR="0074287C" w:rsidRPr="007F03BF">
                <w:rPr>
                  <w:rFonts w:ascii="Arial" w:hAnsi="Arial" w:cs="Arial"/>
                  <w:b/>
                  <w:color w:val="000000"/>
                  <w:sz w:val="18"/>
                  <w:szCs w:val="18"/>
                  <w:lang w:eastAsia="es-ES_tradnl"/>
                </w:rPr>
                <w:br/>
                <w:t>0106/SO/30-01/2019</w:t>
              </w:r>
            </w:hyperlink>
          </w:p>
          <w:p w14:paraId="64C318DB" w14:textId="77777777" w:rsidR="0074287C" w:rsidRPr="007F03BF" w:rsidRDefault="0074287C" w:rsidP="00A43BF1">
            <w:pPr>
              <w:jc w:val="center"/>
              <w:rPr>
                <w:rFonts w:ascii="Arial" w:hAnsi="Arial" w:cs="Arial"/>
                <w:b/>
                <w:color w:val="000000"/>
                <w:sz w:val="18"/>
                <w:szCs w:val="18"/>
                <w:lang w:eastAsia="es-ES_tradnl"/>
              </w:rPr>
            </w:pPr>
          </w:p>
        </w:tc>
        <w:tc>
          <w:tcPr>
            <w:tcW w:w="1152" w:type="dxa"/>
            <w:tcBorders>
              <w:top w:val="nil"/>
              <w:left w:val="nil"/>
              <w:bottom w:val="single" w:sz="4" w:space="0" w:color="auto"/>
              <w:right w:val="single" w:sz="4" w:space="0" w:color="auto"/>
            </w:tcBorders>
            <w:shd w:val="clear" w:color="000000" w:fill="FFFFFF"/>
            <w:vAlign w:val="center"/>
            <w:hideMark/>
          </w:tcPr>
          <w:p w14:paraId="2B9D874A"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262C50BC"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3A40796"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6</w:t>
            </w:r>
          </w:p>
        </w:tc>
        <w:tc>
          <w:tcPr>
            <w:tcW w:w="2835" w:type="dxa"/>
            <w:tcBorders>
              <w:top w:val="nil"/>
              <w:left w:val="nil"/>
              <w:bottom w:val="single" w:sz="4" w:space="0" w:color="auto"/>
              <w:right w:val="single" w:sz="4" w:space="0" w:color="auto"/>
            </w:tcBorders>
            <w:shd w:val="clear" w:color="000000" w:fill="FFFFFF"/>
            <w:vAlign w:val="center"/>
            <w:hideMark/>
          </w:tcPr>
          <w:p w14:paraId="06C3EDB9"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Secretaría de Inclusión y Bienestar Social</w:t>
            </w:r>
          </w:p>
        </w:tc>
        <w:tc>
          <w:tcPr>
            <w:tcW w:w="2552" w:type="dxa"/>
            <w:tcBorders>
              <w:top w:val="nil"/>
              <w:left w:val="nil"/>
              <w:bottom w:val="single" w:sz="4" w:space="0" w:color="auto"/>
              <w:right w:val="single" w:sz="4" w:space="0" w:color="auto"/>
            </w:tcBorders>
            <w:shd w:val="clear" w:color="000000" w:fill="FFFFFF"/>
            <w:vAlign w:val="center"/>
            <w:hideMark/>
          </w:tcPr>
          <w:p w14:paraId="258378B9"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Administración Pública Central</w:t>
            </w:r>
          </w:p>
        </w:tc>
        <w:tc>
          <w:tcPr>
            <w:tcW w:w="1843" w:type="dxa"/>
            <w:tcBorders>
              <w:top w:val="nil"/>
              <w:left w:val="nil"/>
              <w:bottom w:val="single" w:sz="4" w:space="0" w:color="auto"/>
              <w:right w:val="single" w:sz="4" w:space="0" w:color="auto"/>
            </w:tcBorders>
            <w:shd w:val="clear" w:color="000000" w:fill="FFFFFF"/>
            <w:vAlign w:val="center"/>
            <w:hideMark/>
          </w:tcPr>
          <w:p w14:paraId="3FBB129F" w14:textId="77777777" w:rsidR="0074287C" w:rsidRPr="007F03BF" w:rsidRDefault="003C7D67" w:rsidP="00A43BF1">
            <w:pPr>
              <w:jc w:val="center"/>
              <w:rPr>
                <w:rFonts w:ascii="Arial" w:hAnsi="Arial" w:cs="Arial"/>
                <w:b/>
                <w:color w:val="000000"/>
                <w:sz w:val="18"/>
                <w:szCs w:val="18"/>
                <w:lang w:eastAsia="es-ES_tradnl"/>
              </w:rPr>
            </w:pPr>
            <w:hyperlink r:id="rId16" w:tgtFrame="_Blank" w:history="1">
              <w:r w:rsidR="0074287C" w:rsidRPr="007F03BF">
                <w:rPr>
                  <w:rFonts w:ascii="Arial" w:hAnsi="Arial" w:cs="Arial"/>
                  <w:b/>
                  <w:color w:val="000000"/>
                  <w:sz w:val="18"/>
                  <w:szCs w:val="18"/>
                  <w:lang w:eastAsia="es-ES_tradnl"/>
                </w:rPr>
                <w:br/>
                <w:t>0106/SO/30-01/2019</w:t>
              </w:r>
            </w:hyperlink>
          </w:p>
          <w:p w14:paraId="06C62732" w14:textId="77777777" w:rsidR="0074287C" w:rsidRPr="007F03BF" w:rsidRDefault="0074287C" w:rsidP="00A43BF1">
            <w:pPr>
              <w:jc w:val="center"/>
              <w:rPr>
                <w:rFonts w:ascii="Arial" w:hAnsi="Arial" w:cs="Arial"/>
                <w:b/>
                <w:color w:val="000000"/>
                <w:sz w:val="18"/>
                <w:szCs w:val="18"/>
                <w:lang w:eastAsia="es-ES_tradnl"/>
              </w:rPr>
            </w:pPr>
          </w:p>
        </w:tc>
        <w:tc>
          <w:tcPr>
            <w:tcW w:w="1152" w:type="dxa"/>
            <w:tcBorders>
              <w:top w:val="nil"/>
              <w:left w:val="nil"/>
              <w:bottom w:val="single" w:sz="4" w:space="0" w:color="auto"/>
              <w:right w:val="single" w:sz="4" w:space="0" w:color="auto"/>
            </w:tcBorders>
            <w:shd w:val="clear" w:color="000000" w:fill="FFFFFF"/>
            <w:vAlign w:val="center"/>
            <w:hideMark/>
          </w:tcPr>
          <w:p w14:paraId="7ADA5CF0"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5B76CF44" w14:textId="77777777" w:rsidTr="00A43BF1">
        <w:trPr>
          <w:trHeight w:val="68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D22055B"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7</w:t>
            </w:r>
          </w:p>
        </w:tc>
        <w:tc>
          <w:tcPr>
            <w:tcW w:w="2835" w:type="dxa"/>
            <w:tcBorders>
              <w:top w:val="nil"/>
              <w:left w:val="nil"/>
              <w:bottom w:val="single" w:sz="4" w:space="0" w:color="auto"/>
              <w:right w:val="single" w:sz="4" w:space="0" w:color="auto"/>
            </w:tcBorders>
            <w:shd w:val="clear" w:color="000000" w:fill="FFFFFF"/>
            <w:vAlign w:val="center"/>
            <w:hideMark/>
          </w:tcPr>
          <w:p w14:paraId="6D342B5A"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Secretaría de las Mujeres</w:t>
            </w:r>
          </w:p>
        </w:tc>
        <w:tc>
          <w:tcPr>
            <w:tcW w:w="2552" w:type="dxa"/>
            <w:tcBorders>
              <w:top w:val="nil"/>
              <w:left w:val="nil"/>
              <w:bottom w:val="single" w:sz="4" w:space="0" w:color="auto"/>
              <w:right w:val="single" w:sz="4" w:space="0" w:color="auto"/>
            </w:tcBorders>
            <w:shd w:val="clear" w:color="000000" w:fill="FFFFFF"/>
            <w:vAlign w:val="center"/>
            <w:hideMark/>
          </w:tcPr>
          <w:p w14:paraId="05701DDA"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Administración Pública Central</w:t>
            </w:r>
          </w:p>
        </w:tc>
        <w:tc>
          <w:tcPr>
            <w:tcW w:w="1843" w:type="dxa"/>
            <w:tcBorders>
              <w:top w:val="nil"/>
              <w:left w:val="nil"/>
              <w:bottom w:val="single" w:sz="4" w:space="0" w:color="auto"/>
              <w:right w:val="single" w:sz="4" w:space="0" w:color="auto"/>
            </w:tcBorders>
            <w:shd w:val="clear" w:color="000000" w:fill="FFFFFF"/>
            <w:vAlign w:val="center"/>
            <w:hideMark/>
          </w:tcPr>
          <w:p w14:paraId="3935D4F1" w14:textId="77777777" w:rsidR="0074287C" w:rsidRPr="007F03BF" w:rsidRDefault="003C7D67" w:rsidP="00A43BF1">
            <w:pPr>
              <w:jc w:val="center"/>
              <w:rPr>
                <w:rFonts w:ascii="Arial" w:hAnsi="Arial" w:cs="Arial"/>
                <w:b/>
                <w:color w:val="000000"/>
                <w:sz w:val="18"/>
                <w:szCs w:val="18"/>
                <w:lang w:eastAsia="es-ES_tradnl"/>
              </w:rPr>
            </w:pPr>
            <w:hyperlink r:id="rId17" w:tgtFrame="_Blank" w:history="1">
              <w:r w:rsidR="0074287C" w:rsidRPr="007F03BF">
                <w:rPr>
                  <w:rFonts w:ascii="Arial" w:hAnsi="Arial" w:cs="Arial"/>
                  <w:b/>
                  <w:color w:val="000000"/>
                  <w:sz w:val="18"/>
                  <w:szCs w:val="18"/>
                  <w:lang w:eastAsia="es-ES_tradnl"/>
                </w:rPr>
                <w:br/>
                <w:t>0106/SO/30-01/2019</w:t>
              </w:r>
            </w:hyperlink>
          </w:p>
          <w:p w14:paraId="6136E37C" w14:textId="77777777" w:rsidR="0074287C" w:rsidRPr="007F03BF" w:rsidRDefault="0074287C" w:rsidP="00A43BF1">
            <w:pPr>
              <w:jc w:val="center"/>
              <w:rPr>
                <w:rFonts w:ascii="Arial" w:hAnsi="Arial" w:cs="Arial"/>
                <w:b/>
                <w:color w:val="000000"/>
                <w:sz w:val="18"/>
                <w:szCs w:val="18"/>
                <w:lang w:eastAsia="es-ES_tradnl"/>
              </w:rPr>
            </w:pPr>
          </w:p>
        </w:tc>
        <w:tc>
          <w:tcPr>
            <w:tcW w:w="1152" w:type="dxa"/>
            <w:tcBorders>
              <w:top w:val="nil"/>
              <w:left w:val="nil"/>
              <w:bottom w:val="single" w:sz="4" w:space="0" w:color="auto"/>
              <w:right w:val="single" w:sz="4" w:space="0" w:color="auto"/>
            </w:tcBorders>
            <w:shd w:val="clear" w:color="000000" w:fill="FFFFFF"/>
            <w:vAlign w:val="center"/>
            <w:hideMark/>
          </w:tcPr>
          <w:p w14:paraId="11C20642"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38A2A8D9" w14:textId="77777777" w:rsidTr="00A43BF1">
        <w:trPr>
          <w:trHeight w:val="68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7FA53DE"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lastRenderedPageBreak/>
              <w:t>8</w:t>
            </w:r>
          </w:p>
        </w:tc>
        <w:tc>
          <w:tcPr>
            <w:tcW w:w="2835" w:type="dxa"/>
            <w:tcBorders>
              <w:top w:val="nil"/>
              <w:left w:val="nil"/>
              <w:bottom w:val="single" w:sz="4" w:space="0" w:color="auto"/>
              <w:right w:val="single" w:sz="4" w:space="0" w:color="auto"/>
            </w:tcBorders>
            <w:shd w:val="clear" w:color="000000" w:fill="FFFFFF"/>
            <w:vAlign w:val="center"/>
            <w:hideMark/>
          </w:tcPr>
          <w:p w14:paraId="597068A1"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Secretaría de Pueblos y Barrios Originarios y Comunidades Indígenas Residentes</w:t>
            </w:r>
          </w:p>
        </w:tc>
        <w:tc>
          <w:tcPr>
            <w:tcW w:w="2552" w:type="dxa"/>
            <w:tcBorders>
              <w:top w:val="nil"/>
              <w:left w:val="nil"/>
              <w:bottom w:val="single" w:sz="4" w:space="0" w:color="auto"/>
              <w:right w:val="single" w:sz="4" w:space="0" w:color="auto"/>
            </w:tcBorders>
            <w:shd w:val="clear" w:color="000000" w:fill="FFFFFF"/>
            <w:vAlign w:val="center"/>
            <w:hideMark/>
          </w:tcPr>
          <w:p w14:paraId="486AC16E"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Administración Pública Central</w:t>
            </w:r>
          </w:p>
        </w:tc>
        <w:tc>
          <w:tcPr>
            <w:tcW w:w="1843" w:type="dxa"/>
            <w:tcBorders>
              <w:top w:val="nil"/>
              <w:left w:val="nil"/>
              <w:bottom w:val="single" w:sz="4" w:space="0" w:color="auto"/>
              <w:right w:val="single" w:sz="4" w:space="0" w:color="auto"/>
            </w:tcBorders>
            <w:shd w:val="clear" w:color="000000" w:fill="FFFFFF"/>
            <w:vAlign w:val="center"/>
            <w:hideMark/>
          </w:tcPr>
          <w:p w14:paraId="428B63BD" w14:textId="77777777" w:rsidR="0074287C" w:rsidRPr="007F03BF" w:rsidRDefault="003C7D67" w:rsidP="00A43BF1">
            <w:pPr>
              <w:jc w:val="center"/>
              <w:rPr>
                <w:rFonts w:ascii="Arial" w:hAnsi="Arial" w:cs="Arial"/>
                <w:b/>
                <w:color w:val="000000"/>
                <w:sz w:val="18"/>
                <w:szCs w:val="18"/>
                <w:lang w:eastAsia="es-ES_tradnl"/>
              </w:rPr>
            </w:pPr>
            <w:hyperlink r:id="rId18" w:tgtFrame="_Blank" w:history="1">
              <w:r w:rsidR="0074287C" w:rsidRPr="007F03BF">
                <w:rPr>
                  <w:rFonts w:ascii="Arial" w:hAnsi="Arial" w:cs="Arial"/>
                  <w:b/>
                  <w:color w:val="000000"/>
                  <w:sz w:val="18"/>
                  <w:szCs w:val="18"/>
                  <w:lang w:eastAsia="es-ES_tradnl"/>
                </w:rPr>
                <w:br/>
                <w:t>0106/SO/30-01/2019</w:t>
              </w:r>
            </w:hyperlink>
          </w:p>
          <w:p w14:paraId="787E2E23" w14:textId="77777777" w:rsidR="0074287C" w:rsidRPr="007F03BF" w:rsidRDefault="0074287C" w:rsidP="00A43BF1">
            <w:pPr>
              <w:jc w:val="center"/>
              <w:rPr>
                <w:rFonts w:ascii="Arial" w:hAnsi="Arial" w:cs="Arial"/>
                <w:b/>
                <w:color w:val="000000"/>
                <w:sz w:val="18"/>
                <w:szCs w:val="18"/>
                <w:lang w:eastAsia="es-ES_tradnl"/>
              </w:rPr>
            </w:pPr>
          </w:p>
        </w:tc>
        <w:tc>
          <w:tcPr>
            <w:tcW w:w="1152" w:type="dxa"/>
            <w:tcBorders>
              <w:top w:val="nil"/>
              <w:left w:val="nil"/>
              <w:bottom w:val="single" w:sz="4" w:space="0" w:color="auto"/>
              <w:right w:val="single" w:sz="4" w:space="0" w:color="auto"/>
            </w:tcBorders>
            <w:shd w:val="clear" w:color="000000" w:fill="FFFFFF"/>
            <w:vAlign w:val="center"/>
            <w:hideMark/>
          </w:tcPr>
          <w:p w14:paraId="1BBCE4CF"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7E5A8F36"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33469E4"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9</w:t>
            </w:r>
          </w:p>
        </w:tc>
        <w:tc>
          <w:tcPr>
            <w:tcW w:w="2835" w:type="dxa"/>
            <w:tcBorders>
              <w:top w:val="nil"/>
              <w:left w:val="nil"/>
              <w:bottom w:val="single" w:sz="4" w:space="0" w:color="auto"/>
              <w:right w:val="single" w:sz="4" w:space="0" w:color="auto"/>
            </w:tcBorders>
            <w:shd w:val="clear" w:color="000000" w:fill="FFFFFF"/>
            <w:vAlign w:val="center"/>
            <w:hideMark/>
          </w:tcPr>
          <w:p w14:paraId="1CCF4099"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Agencia de Atención Animal</w:t>
            </w:r>
          </w:p>
        </w:tc>
        <w:tc>
          <w:tcPr>
            <w:tcW w:w="2552" w:type="dxa"/>
            <w:tcBorders>
              <w:top w:val="nil"/>
              <w:left w:val="nil"/>
              <w:bottom w:val="single" w:sz="4" w:space="0" w:color="auto"/>
              <w:right w:val="single" w:sz="4" w:space="0" w:color="auto"/>
            </w:tcBorders>
            <w:shd w:val="clear" w:color="000000" w:fill="FFFFFF"/>
            <w:vAlign w:val="center"/>
            <w:hideMark/>
          </w:tcPr>
          <w:p w14:paraId="55EDEF38"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Desconcentrados y Paraestatales</w:t>
            </w:r>
          </w:p>
        </w:tc>
        <w:tc>
          <w:tcPr>
            <w:tcW w:w="1843" w:type="dxa"/>
            <w:tcBorders>
              <w:top w:val="nil"/>
              <w:left w:val="nil"/>
              <w:bottom w:val="single" w:sz="4" w:space="0" w:color="auto"/>
              <w:right w:val="single" w:sz="4" w:space="0" w:color="auto"/>
            </w:tcBorders>
            <w:shd w:val="clear" w:color="000000" w:fill="FFFFFF"/>
            <w:vAlign w:val="center"/>
            <w:hideMark/>
          </w:tcPr>
          <w:p w14:paraId="23FF15AE" w14:textId="77777777" w:rsidR="0074287C" w:rsidRPr="007F03BF" w:rsidRDefault="003C7D67" w:rsidP="00A43BF1">
            <w:pPr>
              <w:jc w:val="center"/>
              <w:rPr>
                <w:rFonts w:ascii="Arial" w:hAnsi="Arial" w:cs="Arial"/>
                <w:b/>
                <w:color w:val="000000"/>
                <w:sz w:val="18"/>
                <w:szCs w:val="18"/>
                <w:lang w:eastAsia="es-ES_tradnl"/>
              </w:rPr>
            </w:pPr>
            <w:hyperlink r:id="rId19" w:tgtFrame="_Blank" w:history="1">
              <w:r w:rsidR="0074287C" w:rsidRPr="007F03BF">
                <w:rPr>
                  <w:rFonts w:ascii="Arial" w:hAnsi="Arial" w:cs="Arial"/>
                  <w:b/>
                  <w:color w:val="000000"/>
                  <w:sz w:val="18"/>
                  <w:szCs w:val="18"/>
                  <w:lang w:eastAsia="es-ES_tradnl"/>
                </w:rPr>
                <w:t>0147/SO/07-02/2019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0BEF81FD"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07/02/2019</w:t>
            </w:r>
          </w:p>
        </w:tc>
      </w:tr>
      <w:tr w:rsidR="0074287C" w:rsidRPr="007F03BF" w14:paraId="2B5D670F" w14:textId="77777777" w:rsidTr="00A43BF1">
        <w:trPr>
          <w:trHeight w:val="68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33515AE"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10</w:t>
            </w:r>
          </w:p>
        </w:tc>
        <w:tc>
          <w:tcPr>
            <w:tcW w:w="2835" w:type="dxa"/>
            <w:tcBorders>
              <w:top w:val="nil"/>
              <w:left w:val="nil"/>
              <w:bottom w:val="single" w:sz="4" w:space="0" w:color="auto"/>
              <w:right w:val="single" w:sz="4" w:space="0" w:color="auto"/>
            </w:tcBorders>
            <w:shd w:val="clear" w:color="000000" w:fill="FFFFFF"/>
            <w:vAlign w:val="center"/>
            <w:hideMark/>
          </w:tcPr>
          <w:p w14:paraId="568DB935"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Agencia Digital de Innovación Pública de la Ciudad de México</w:t>
            </w:r>
          </w:p>
        </w:tc>
        <w:tc>
          <w:tcPr>
            <w:tcW w:w="2552" w:type="dxa"/>
            <w:tcBorders>
              <w:top w:val="nil"/>
              <w:left w:val="nil"/>
              <w:bottom w:val="single" w:sz="4" w:space="0" w:color="auto"/>
              <w:right w:val="single" w:sz="4" w:space="0" w:color="auto"/>
            </w:tcBorders>
            <w:shd w:val="clear" w:color="000000" w:fill="FFFFFF"/>
            <w:vAlign w:val="center"/>
            <w:hideMark/>
          </w:tcPr>
          <w:p w14:paraId="16070FFB"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Desconcentrados y Paraestatales</w:t>
            </w:r>
          </w:p>
        </w:tc>
        <w:tc>
          <w:tcPr>
            <w:tcW w:w="1843" w:type="dxa"/>
            <w:tcBorders>
              <w:top w:val="nil"/>
              <w:left w:val="nil"/>
              <w:bottom w:val="single" w:sz="4" w:space="0" w:color="auto"/>
              <w:right w:val="single" w:sz="4" w:space="0" w:color="auto"/>
            </w:tcBorders>
            <w:shd w:val="clear" w:color="000000" w:fill="FFFFFF"/>
            <w:vAlign w:val="center"/>
            <w:hideMark/>
          </w:tcPr>
          <w:p w14:paraId="27FCCEFA" w14:textId="77777777" w:rsidR="0074287C" w:rsidRPr="007F03BF" w:rsidRDefault="003C7D67" w:rsidP="00A43BF1">
            <w:pPr>
              <w:jc w:val="center"/>
              <w:rPr>
                <w:rFonts w:ascii="Arial" w:hAnsi="Arial" w:cs="Arial"/>
                <w:b/>
                <w:color w:val="000000"/>
                <w:sz w:val="18"/>
                <w:szCs w:val="18"/>
                <w:lang w:eastAsia="es-ES_tradnl"/>
              </w:rPr>
            </w:pPr>
            <w:hyperlink r:id="rId20" w:tgtFrame="_Blank" w:history="1">
              <w:r w:rsidR="0074287C" w:rsidRPr="007F03BF">
                <w:rPr>
                  <w:rFonts w:ascii="Arial" w:hAnsi="Arial" w:cs="Arial"/>
                  <w:b/>
                  <w:color w:val="000000"/>
                  <w:sz w:val="18"/>
                  <w:szCs w:val="18"/>
                  <w:lang w:eastAsia="es-ES_tradnl"/>
                </w:rPr>
                <w:t>0214/SO/13-02/2019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289D088A"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13/02/2019</w:t>
            </w:r>
          </w:p>
        </w:tc>
      </w:tr>
      <w:tr w:rsidR="0074287C" w:rsidRPr="007F03BF" w14:paraId="38176D7B"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9476485"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11</w:t>
            </w:r>
          </w:p>
        </w:tc>
        <w:tc>
          <w:tcPr>
            <w:tcW w:w="2835" w:type="dxa"/>
            <w:tcBorders>
              <w:top w:val="nil"/>
              <w:left w:val="nil"/>
              <w:bottom w:val="single" w:sz="4" w:space="0" w:color="auto"/>
              <w:right w:val="single" w:sz="4" w:space="0" w:color="auto"/>
            </w:tcBorders>
            <w:shd w:val="clear" w:color="000000" w:fill="FFFFFF"/>
            <w:vAlign w:val="center"/>
            <w:hideMark/>
          </w:tcPr>
          <w:p w14:paraId="02E81365"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Órgano Regulador de Transporte</w:t>
            </w:r>
          </w:p>
        </w:tc>
        <w:tc>
          <w:tcPr>
            <w:tcW w:w="2552" w:type="dxa"/>
            <w:tcBorders>
              <w:top w:val="nil"/>
              <w:left w:val="nil"/>
              <w:bottom w:val="single" w:sz="4" w:space="0" w:color="auto"/>
              <w:right w:val="single" w:sz="4" w:space="0" w:color="auto"/>
            </w:tcBorders>
            <w:shd w:val="clear" w:color="000000" w:fill="FFFFFF"/>
            <w:vAlign w:val="center"/>
            <w:hideMark/>
          </w:tcPr>
          <w:p w14:paraId="1C3CAB56"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Desconcentrados y Paraestatales</w:t>
            </w:r>
          </w:p>
        </w:tc>
        <w:tc>
          <w:tcPr>
            <w:tcW w:w="1843" w:type="dxa"/>
            <w:tcBorders>
              <w:top w:val="nil"/>
              <w:left w:val="nil"/>
              <w:bottom w:val="single" w:sz="4" w:space="0" w:color="auto"/>
              <w:right w:val="single" w:sz="4" w:space="0" w:color="auto"/>
            </w:tcBorders>
            <w:shd w:val="clear" w:color="000000" w:fill="FFFFFF"/>
            <w:vAlign w:val="center"/>
            <w:hideMark/>
          </w:tcPr>
          <w:p w14:paraId="5E85CB13" w14:textId="77777777" w:rsidR="0074287C" w:rsidRPr="007F03BF" w:rsidRDefault="003C7D67" w:rsidP="00A43BF1">
            <w:pPr>
              <w:jc w:val="center"/>
              <w:rPr>
                <w:rFonts w:ascii="Arial" w:hAnsi="Arial" w:cs="Arial"/>
                <w:b/>
                <w:color w:val="000000"/>
                <w:sz w:val="18"/>
                <w:szCs w:val="18"/>
                <w:lang w:eastAsia="es-ES_tradnl"/>
              </w:rPr>
            </w:pPr>
            <w:hyperlink r:id="rId21" w:tgtFrame="_Blank" w:history="1">
              <w:r w:rsidR="0074287C" w:rsidRPr="007F03BF">
                <w:rPr>
                  <w:rFonts w:ascii="Arial" w:hAnsi="Arial" w:cs="Arial"/>
                  <w:b/>
                  <w:color w:val="000000"/>
                  <w:sz w:val="18"/>
                  <w:szCs w:val="18"/>
                  <w:lang w:eastAsia="es-ES_tradnl"/>
                </w:rPr>
                <w:t>0147/SO/07-02/2019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4DCC77A9"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07/02/2019</w:t>
            </w:r>
          </w:p>
        </w:tc>
      </w:tr>
      <w:tr w:rsidR="0074287C" w:rsidRPr="007F03BF" w14:paraId="4CF1D132"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5CFCE6A"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12</w:t>
            </w:r>
          </w:p>
        </w:tc>
        <w:tc>
          <w:tcPr>
            <w:tcW w:w="2835" w:type="dxa"/>
            <w:tcBorders>
              <w:top w:val="nil"/>
              <w:left w:val="nil"/>
              <w:bottom w:val="single" w:sz="4" w:space="0" w:color="auto"/>
              <w:right w:val="single" w:sz="4" w:space="0" w:color="auto"/>
            </w:tcBorders>
            <w:shd w:val="clear" w:color="000000" w:fill="FFFFFF"/>
            <w:vAlign w:val="center"/>
            <w:hideMark/>
          </w:tcPr>
          <w:p w14:paraId="402EA454"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Planta Productora de Mezclas Asfálticas</w:t>
            </w:r>
          </w:p>
        </w:tc>
        <w:tc>
          <w:tcPr>
            <w:tcW w:w="2552" w:type="dxa"/>
            <w:tcBorders>
              <w:top w:val="nil"/>
              <w:left w:val="nil"/>
              <w:bottom w:val="single" w:sz="4" w:space="0" w:color="auto"/>
              <w:right w:val="single" w:sz="4" w:space="0" w:color="auto"/>
            </w:tcBorders>
            <w:shd w:val="clear" w:color="000000" w:fill="FFFFFF"/>
            <w:vAlign w:val="center"/>
            <w:hideMark/>
          </w:tcPr>
          <w:p w14:paraId="5863130A"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Desconcentrados y Paraestatales</w:t>
            </w:r>
          </w:p>
        </w:tc>
        <w:tc>
          <w:tcPr>
            <w:tcW w:w="1843" w:type="dxa"/>
            <w:tcBorders>
              <w:top w:val="nil"/>
              <w:left w:val="nil"/>
              <w:bottom w:val="single" w:sz="4" w:space="0" w:color="auto"/>
              <w:right w:val="single" w:sz="4" w:space="0" w:color="auto"/>
            </w:tcBorders>
            <w:shd w:val="clear" w:color="000000" w:fill="FFFFFF"/>
            <w:vAlign w:val="center"/>
            <w:hideMark/>
          </w:tcPr>
          <w:p w14:paraId="6BDE4F61" w14:textId="77777777" w:rsidR="0074287C" w:rsidRPr="007F03BF" w:rsidRDefault="003C7D67" w:rsidP="00A43BF1">
            <w:pPr>
              <w:jc w:val="center"/>
              <w:rPr>
                <w:rFonts w:ascii="Arial" w:hAnsi="Arial" w:cs="Arial"/>
                <w:b/>
                <w:color w:val="000000"/>
                <w:sz w:val="18"/>
                <w:szCs w:val="18"/>
                <w:lang w:eastAsia="es-ES_tradnl"/>
              </w:rPr>
            </w:pPr>
            <w:hyperlink r:id="rId22" w:tgtFrame="_Blank" w:history="1">
              <w:r w:rsidR="0074287C" w:rsidRPr="007F03BF">
                <w:rPr>
                  <w:rFonts w:ascii="Arial" w:hAnsi="Arial" w:cs="Arial"/>
                  <w:b/>
                  <w:color w:val="000000"/>
                  <w:sz w:val="18"/>
                  <w:szCs w:val="18"/>
                  <w:lang w:eastAsia="es-ES_tradnl"/>
                </w:rPr>
                <w:t>0370/SO/06-03/2019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4A9839E5"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06/03/2019</w:t>
            </w:r>
          </w:p>
        </w:tc>
      </w:tr>
      <w:tr w:rsidR="0074287C" w:rsidRPr="007F03BF" w14:paraId="4AE01AA6" w14:textId="77777777" w:rsidTr="00A43BF1">
        <w:trPr>
          <w:trHeight w:val="68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3F33E2F"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13</w:t>
            </w:r>
          </w:p>
        </w:tc>
        <w:tc>
          <w:tcPr>
            <w:tcW w:w="2835" w:type="dxa"/>
            <w:tcBorders>
              <w:top w:val="nil"/>
              <w:left w:val="nil"/>
              <w:bottom w:val="single" w:sz="4" w:space="0" w:color="auto"/>
              <w:right w:val="single" w:sz="4" w:space="0" w:color="auto"/>
            </w:tcBorders>
            <w:shd w:val="clear" w:color="000000" w:fill="FFFFFF"/>
            <w:vAlign w:val="center"/>
            <w:hideMark/>
          </w:tcPr>
          <w:p w14:paraId="55A574CE"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Régimen de Protección Social en Salud de la Ciudad de México</w:t>
            </w:r>
          </w:p>
        </w:tc>
        <w:tc>
          <w:tcPr>
            <w:tcW w:w="2552" w:type="dxa"/>
            <w:tcBorders>
              <w:top w:val="nil"/>
              <w:left w:val="nil"/>
              <w:bottom w:val="single" w:sz="4" w:space="0" w:color="auto"/>
              <w:right w:val="single" w:sz="4" w:space="0" w:color="auto"/>
            </w:tcBorders>
            <w:shd w:val="clear" w:color="000000" w:fill="FFFFFF"/>
            <w:vAlign w:val="center"/>
            <w:hideMark/>
          </w:tcPr>
          <w:p w14:paraId="477ED3AF"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Desconcentrados y Paraestatales</w:t>
            </w:r>
          </w:p>
        </w:tc>
        <w:tc>
          <w:tcPr>
            <w:tcW w:w="1843" w:type="dxa"/>
            <w:tcBorders>
              <w:top w:val="nil"/>
              <w:left w:val="nil"/>
              <w:bottom w:val="single" w:sz="4" w:space="0" w:color="auto"/>
              <w:right w:val="single" w:sz="4" w:space="0" w:color="auto"/>
            </w:tcBorders>
            <w:shd w:val="clear" w:color="000000" w:fill="FFFFFF"/>
            <w:vAlign w:val="center"/>
            <w:hideMark/>
          </w:tcPr>
          <w:p w14:paraId="678BBA09" w14:textId="77777777" w:rsidR="0074287C" w:rsidRPr="007F03BF" w:rsidRDefault="003C7D67" w:rsidP="00A43BF1">
            <w:pPr>
              <w:jc w:val="center"/>
              <w:rPr>
                <w:rFonts w:ascii="Arial" w:hAnsi="Arial" w:cs="Arial"/>
                <w:b/>
                <w:color w:val="000000"/>
                <w:sz w:val="18"/>
                <w:szCs w:val="18"/>
                <w:lang w:eastAsia="es-ES_tradnl"/>
              </w:rPr>
            </w:pPr>
            <w:hyperlink r:id="rId23" w:tgtFrame="_Blank" w:history="1">
              <w:r w:rsidR="0074287C" w:rsidRPr="007F03BF">
                <w:rPr>
                  <w:rFonts w:ascii="Arial" w:hAnsi="Arial" w:cs="Arial"/>
                  <w:b/>
                  <w:color w:val="000000"/>
                  <w:sz w:val="18"/>
                  <w:szCs w:val="18"/>
                  <w:lang w:eastAsia="es-ES_tradnl"/>
                </w:rPr>
                <w:br/>
                <w:t>0248/SO/20-02/2019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766CE6D3"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20/02/2019</w:t>
            </w:r>
          </w:p>
        </w:tc>
      </w:tr>
      <w:tr w:rsidR="0074287C" w:rsidRPr="007F03BF" w14:paraId="1D3DF41A" w14:textId="77777777" w:rsidTr="00A43BF1">
        <w:trPr>
          <w:trHeight w:val="68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26B1EA9"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14</w:t>
            </w:r>
          </w:p>
        </w:tc>
        <w:tc>
          <w:tcPr>
            <w:tcW w:w="2835" w:type="dxa"/>
            <w:tcBorders>
              <w:top w:val="nil"/>
              <w:left w:val="nil"/>
              <w:bottom w:val="single" w:sz="4" w:space="0" w:color="auto"/>
              <w:right w:val="single" w:sz="4" w:space="0" w:color="auto"/>
            </w:tcBorders>
            <w:shd w:val="clear" w:color="000000" w:fill="FFFFFF"/>
            <w:vAlign w:val="center"/>
            <w:hideMark/>
          </w:tcPr>
          <w:p w14:paraId="3283F065"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Red de Transporte Público de Pasajeros de la Ciudad de México</w:t>
            </w:r>
          </w:p>
        </w:tc>
        <w:tc>
          <w:tcPr>
            <w:tcW w:w="2552" w:type="dxa"/>
            <w:tcBorders>
              <w:top w:val="nil"/>
              <w:left w:val="nil"/>
              <w:bottom w:val="single" w:sz="4" w:space="0" w:color="auto"/>
              <w:right w:val="single" w:sz="4" w:space="0" w:color="auto"/>
            </w:tcBorders>
            <w:shd w:val="clear" w:color="000000" w:fill="FFFFFF"/>
            <w:vAlign w:val="center"/>
            <w:hideMark/>
          </w:tcPr>
          <w:p w14:paraId="0AAA129C"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Desconcentrados y Paraestatales</w:t>
            </w:r>
          </w:p>
        </w:tc>
        <w:tc>
          <w:tcPr>
            <w:tcW w:w="1843" w:type="dxa"/>
            <w:tcBorders>
              <w:top w:val="nil"/>
              <w:left w:val="nil"/>
              <w:bottom w:val="single" w:sz="4" w:space="0" w:color="auto"/>
              <w:right w:val="single" w:sz="4" w:space="0" w:color="auto"/>
            </w:tcBorders>
            <w:shd w:val="clear" w:color="000000" w:fill="FFFFFF"/>
            <w:vAlign w:val="center"/>
            <w:hideMark/>
          </w:tcPr>
          <w:p w14:paraId="39989BD3" w14:textId="77777777" w:rsidR="0074287C" w:rsidRPr="007F03BF" w:rsidRDefault="003C7D67" w:rsidP="00A43BF1">
            <w:pPr>
              <w:jc w:val="center"/>
              <w:rPr>
                <w:rFonts w:ascii="Arial" w:hAnsi="Arial" w:cs="Arial"/>
                <w:b/>
                <w:color w:val="000000"/>
                <w:sz w:val="18"/>
                <w:szCs w:val="18"/>
                <w:lang w:eastAsia="es-ES_tradnl"/>
              </w:rPr>
            </w:pPr>
            <w:hyperlink r:id="rId24" w:tgtFrame="_Blank" w:history="1">
              <w:r w:rsidR="0074287C" w:rsidRPr="007F03BF">
                <w:rPr>
                  <w:rFonts w:ascii="Arial" w:hAnsi="Arial" w:cs="Arial"/>
                  <w:b/>
                  <w:color w:val="000000"/>
                  <w:sz w:val="18"/>
                  <w:szCs w:val="18"/>
                  <w:lang w:eastAsia="es-ES_tradnl"/>
                </w:rPr>
                <w:t>0214/SO/13-02/2019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2E9ECD7D"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13/02/2019</w:t>
            </w:r>
          </w:p>
        </w:tc>
      </w:tr>
      <w:tr w:rsidR="0074287C" w:rsidRPr="007F03BF" w14:paraId="0E6C7698" w14:textId="77777777" w:rsidTr="00A43BF1">
        <w:trPr>
          <w:trHeight w:val="68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CCA4C0E"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15</w:t>
            </w:r>
          </w:p>
        </w:tc>
        <w:tc>
          <w:tcPr>
            <w:tcW w:w="2835" w:type="dxa"/>
            <w:tcBorders>
              <w:top w:val="nil"/>
              <w:left w:val="nil"/>
              <w:bottom w:val="single" w:sz="4" w:space="0" w:color="auto"/>
              <w:right w:val="single" w:sz="4" w:space="0" w:color="auto"/>
            </w:tcBorders>
            <w:shd w:val="clear" w:color="000000" w:fill="FFFFFF"/>
            <w:vAlign w:val="center"/>
            <w:hideMark/>
          </w:tcPr>
          <w:p w14:paraId="27D4A149"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Sistema Público de Radiodifusión de la Ciudad de México</w:t>
            </w:r>
          </w:p>
        </w:tc>
        <w:tc>
          <w:tcPr>
            <w:tcW w:w="2552" w:type="dxa"/>
            <w:tcBorders>
              <w:top w:val="nil"/>
              <w:left w:val="nil"/>
              <w:bottom w:val="single" w:sz="4" w:space="0" w:color="auto"/>
              <w:right w:val="single" w:sz="4" w:space="0" w:color="auto"/>
            </w:tcBorders>
            <w:shd w:val="clear" w:color="000000" w:fill="FFFFFF"/>
            <w:vAlign w:val="center"/>
            <w:hideMark/>
          </w:tcPr>
          <w:p w14:paraId="233C2C16"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Desconcentrados y Paraestatales</w:t>
            </w:r>
          </w:p>
        </w:tc>
        <w:tc>
          <w:tcPr>
            <w:tcW w:w="1843" w:type="dxa"/>
            <w:tcBorders>
              <w:top w:val="nil"/>
              <w:left w:val="nil"/>
              <w:bottom w:val="single" w:sz="4" w:space="0" w:color="auto"/>
              <w:right w:val="single" w:sz="4" w:space="0" w:color="auto"/>
            </w:tcBorders>
            <w:shd w:val="clear" w:color="000000" w:fill="FFFFFF"/>
            <w:vAlign w:val="center"/>
            <w:hideMark/>
          </w:tcPr>
          <w:p w14:paraId="5674152B" w14:textId="77777777" w:rsidR="0074287C" w:rsidRPr="007F03BF" w:rsidRDefault="003C7D67" w:rsidP="00A43BF1">
            <w:pPr>
              <w:jc w:val="center"/>
              <w:rPr>
                <w:rFonts w:ascii="Arial" w:hAnsi="Arial" w:cs="Arial"/>
                <w:b/>
                <w:color w:val="000000"/>
                <w:sz w:val="18"/>
                <w:szCs w:val="18"/>
                <w:lang w:eastAsia="es-ES_tradnl"/>
              </w:rPr>
            </w:pPr>
            <w:hyperlink r:id="rId25" w:tgtFrame="_Blank" w:history="1">
              <w:r w:rsidR="0074287C" w:rsidRPr="007F03BF">
                <w:rPr>
                  <w:rFonts w:ascii="Arial" w:hAnsi="Arial" w:cs="Arial"/>
                  <w:b/>
                  <w:color w:val="000000"/>
                  <w:sz w:val="18"/>
                  <w:szCs w:val="18"/>
                  <w:lang w:eastAsia="es-ES_tradnl"/>
                </w:rPr>
                <w:t>0214/SO/13-02/2019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3E5CEFE8"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13/02/2019</w:t>
            </w:r>
          </w:p>
        </w:tc>
      </w:tr>
      <w:tr w:rsidR="0074287C" w:rsidRPr="007F03BF" w14:paraId="48F76FB2" w14:textId="77777777" w:rsidTr="00A43BF1">
        <w:trPr>
          <w:trHeight w:val="68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20E5A7D"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16</w:t>
            </w:r>
          </w:p>
        </w:tc>
        <w:tc>
          <w:tcPr>
            <w:tcW w:w="2835" w:type="dxa"/>
            <w:tcBorders>
              <w:top w:val="nil"/>
              <w:left w:val="nil"/>
              <w:bottom w:val="single" w:sz="4" w:space="0" w:color="auto"/>
              <w:right w:val="single" w:sz="4" w:space="0" w:color="auto"/>
            </w:tcBorders>
            <w:shd w:val="clear" w:color="000000" w:fill="FFFFFF"/>
            <w:vAlign w:val="center"/>
            <w:hideMark/>
          </w:tcPr>
          <w:p w14:paraId="2BB2733C"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Fondo Público de Atención al Ciclista y al Peatón</w:t>
            </w:r>
          </w:p>
        </w:tc>
        <w:tc>
          <w:tcPr>
            <w:tcW w:w="2552" w:type="dxa"/>
            <w:tcBorders>
              <w:top w:val="nil"/>
              <w:left w:val="nil"/>
              <w:bottom w:val="single" w:sz="4" w:space="0" w:color="auto"/>
              <w:right w:val="single" w:sz="4" w:space="0" w:color="auto"/>
            </w:tcBorders>
            <w:shd w:val="clear" w:color="000000" w:fill="FFFFFF"/>
            <w:vAlign w:val="center"/>
            <w:hideMark/>
          </w:tcPr>
          <w:p w14:paraId="77FB8828"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Poder Ejecutivo - Desconcentrados y Paraestatales</w:t>
            </w:r>
          </w:p>
        </w:tc>
        <w:tc>
          <w:tcPr>
            <w:tcW w:w="1843" w:type="dxa"/>
            <w:tcBorders>
              <w:top w:val="nil"/>
              <w:left w:val="nil"/>
              <w:bottom w:val="single" w:sz="4" w:space="0" w:color="auto"/>
              <w:right w:val="single" w:sz="4" w:space="0" w:color="auto"/>
            </w:tcBorders>
            <w:shd w:val="clear" w:color="000000" w:fill="FFFFFF"/>
            <w:vAlign w:val="center"/>
            <w:hideMark/>
          </w:tcPr>
          <w:p w14:paraId="07A34BB0" w14:textId="77777777" w:rsidR="0074287C" w:rsidRPr="007F03BF" w:rsidRDefault="003C7D67" w:rsidP="00A43BF1">
            <w:pPr>
              <w:jc w:val="center"/>
              <w:rPr>
                <w:rFonts w:ascii="Arial" w:hAnsi="Arial" w:cs="Arial"/>
                <w:b/>
                <w:color w:val="000000"/>
                <w:sz w:val="18"/>
                <w:szCs w:val="18"/>
                <w:lang w:eastAsia="es-ES_tradnl"/>
              </w:rPr>
            </w:pPr>
            <w:hyperlink r:id="rId26" w:tgtFrame="_Blank" w:history="1">
              <w:r w:rsidR="0074287C" w:rsidRPr="007F03BF">
                <w:rPr>
                  <w:rFonts w:ascii="Arial" w:hAnsi="Arial" w:cs="Arial"/>
                  <w:b/>
                  <w:color w:val="000000"/>
                  <w:sz w:val="18"/>
                  <w:szCs w:val="18"/>
                  <w:lang w:eastAsia="es-ES_tradnl"/>
                </w:rPr>
                <w:t>0147/SO/07-02/2019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1E9B5ACF"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07/02/2019</w:t>
            </w:r>
          </w:p>
        </w:tc>
      </w:tr>
      <w:tr w:rsidR="0074287C" w:rsidRPr="007F03BF" w14:paraId="50FE0D3B"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784D7DB"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17</w:t>
            </w:r>
          </w:p>
        </w:tc>
        <w:tc>
          <w:tcPr>
            <w:tcW w:w="2835" w:type="dxa"/>
            <w:tcBorders>
              <w:top w:val="nil"/>
              <w:left w:val="nil"/>
              <w:bottom w:val="single" w:sz="4" w:space="0" w:color="auto"/>
              <w:right w:val="single" w:sz="4" w:space="0" w:color="auto"/>
            </w:tcBorders>
            <w:shd w:val="clear" w:color="000000" w:fill="FFFFFF"/>
            <w:vAlign w:val="center"/>
            <w:hideMark/>
          </w:tcPr>
          <w:p w14:paraId="1E59BE62"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Álvaro Obregón</w:t>
            </w:r>
          </w:p>
        </w:tc>
        <w:tc>
          <w:tcPr>
            <w:tcW w:w="2552" w:type="dxa"/>
            <w:tcBorders>
              <w:top w:val="nil"/>
              <w:left w:val="nil"/>
              <w:bottom w:val="single" w:sz="4" w:space="0" w:color="auto"/>
              <w:right w:val="single" w:sz="4" w:space="0" w:color="auto"/>
            </w:tcBorders>
            <w:shd w:val="clear" w:color="000000" w:fill="FFFFFF"/>
            <w:vAlign w:val="center"/>
            <w:hideMark/>
          </w:tcPr>
          <w:p w14:paraId="73E97690"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5E765EA8" w14:textId="77777777" w:rsidR="0074287C" w:rsidRPr="007F03BF" w:rsidRDefault="003C7D67" w:rsidP="00A43BF1">
            <w:pPr>
              <w:jc w:val="center"/>
              <w:rPr>
                <w:rFonts w:ascii="Arial" w:hAnsi="Arial" w:cs="Arial"/>
                <w:b/>
                <w:color w:val="000000"/>
                <w:sz w:val="18"/>
                <w:szCs w:val="18"/>
                <w:lang w:eastAsia="es-ES_tradnl"/>
              </w:rPr>
            </w:pPr>
            <w:hyperlink r:id="rId27"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7E1A460B"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01CE28C1"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D4E6660"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18</w:t>
            </w:r>
          </w:p>
        </w:tc>
        <w:tc>
          <w:tcPr>
            <w:tcW w:w="2835" w:type="dxa"/>
            <w:tcBorders>
              <w:top w:val="nil"/>
              <w:left w:val="nil"/>
              <w:bottom w:val="single" w:sz="4" w:space="0" w:color="auto"/>
              <w:right w:val="single" w:sz="4" w:space="0" w:color="auto"/>
            </w:tcBorders>
            <w:shd w:val="clear" w:color="000000" w:fill="FFFFFF"/>
            <w:vAlign w:val="center"/>
            <w:hideMark/>
          </w:tcPr>
          <w:p w14:paraId="03BA57D5"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Azcapotzalco</w:t>
            </w:r>
          </w:p>
        </w:tc>
        <w:tc>
          <w:tcPr>
            <w:tcW w:w="2552" w:type="dxa"/>
            <w:tcBorders>
              <w:top w:val="nil"/>
              <w:left w:val="nil"/>
              <w:bottom w:val="single" w:sz="4" w:space="0" w:color="auto"/>
              <w:right w:val="single" w:sz="4" w:space="0" w:color="auto"/>
            </w:tcBorders>
            <w:shd w:val="clear" w:color="000000" w:fill="FFFFFF"/>
            <w:vAlign w:val="center"/>
            <w:hideMark/>
          </w:tcPr>
          <w:p w14:paraId="1EC82986"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7FEDB46B" w14:textId="77777777" w:rsidR="0074287C" w:rsidRPr="007F03BF" w:rsidRDefault="003C7D67" w:rsidP="00A43BF1">
            <w:pPr>
              <w:jc w:val="center"/>
              <w:rPr>
                <w:rFonts w:ascii="Arial" w:hAnsi="Arial" w:cs="Arial"/>
                <w:b/>
                <w:color w:val="000000"/>
                <w:sz w:val="18"/>
                <w:szCs w:val="18"/>
                <w:lang w:eastAsia="es-ES_tradnl"/>
              </w:rPr>
            </w:pPr>
            <w:hyperlink r:id="rId28"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5D2F7CA8"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22526B60"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CFE20EB"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19</w:t>
            </w:r>
          </w:p>
        </w:tc>
        <w:tc>
          <w:tcPr>
            <w:tcW w:w="2835" w:type="dxa"/>
            <w:tcBorders>
              <w:top w:val="nil"/>
              <w:left w:val="nil"/>
              <w:bottom w:val="single" w:sz="4" w:space="0" w:color="auto"/>
              <w:right w:val="single" w:sz="4" w:space="0" w:color="auto"/>
            </w:tcBorders>
            <w:shd w:val="clear" w:color="000000" w:fill="FFFFFF"/>
            <w:vAlign w:val="center"/>
            <w:hideMark/>
          </w:tcPr>
          <w:p w14:paraId="1C41C90B"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Benito Juárez</w:t>
            </w:r>
          </w:p>
        </w:tc>
        <w:tc>
          <w:tcPr>
            <w:tcW w:w="2552" w:type="dxa"/>
            <w:tcBorders>
              <w:top w:val="nil"/>
              <w:left w:val="nil"/>
              <w:bottom w:val="single" w:sz="4" w:space="0" w:color="auto"/>
              <w:right w:val="single" w:sz="4" w:space="0" w:color="auto"/>
            </w:tcBorders>
            <w:shd w:val="clear" w:color="000000" w:fill="FFFFFF"/>
            <w:vAlign w:val="center"/>
            <w:hideMark/>
          </w:tcPr>
          <w:p w14:paraId="22CA642B"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49718FCD" w14:textId="77777777" w:rsidR="0074287C" w:rsidRPr="007F03BF" w:rsidRDefault="003C7D67" w:rsidP="00A43BF1">
            <w:pPr>
              <w:jc w:val="center"/>
              <w:rPr>
                <w:rFonts w:ascii="Arial" w:hAnsi="Arial" w:cs="Arial"/>
                <w:b/>
                <w:color w:val="000000"/>
                <w:sz w:val="18"/>
                <w:szCs w:val="18"/>
                <w:lang w:eastAsia="es-ES_tradnl"/>
              </w:rPr>
            </w:pPr>
            <w:hyperlink r:id="rId29"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24A67E92"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533A01E3"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EEE0E87"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20</w:t>
            </w:r>
          </w:p>
        </w:tc>
        <w:tc>
          <w:tcPr>
            <w:tcW w:w="2835" w:type="dxa"/>
            <w:tcBorders>
              <w:top w:val="nil"/>
              <w:left w:val="nil"/>
              <w:bottom w:val="single" w:sz="4" w:space="0" w:color="auto"/>
              <w:right w:val="single" w:sz="4" w:space="0" w:color="auto"/>
            </w:tcBorders>
            <w:shd w:val="clear" w:color="000000" w:fill="FFFFFF"/>
            <w:vAlign w:val="center"/>
            <w:hideMark/>
          </w:tcPr>
          <w:p w14:paraId="1DB023EB"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Coyoacán</w:t>
            </w:r>
          </w:p>
        </w:tc>
        <w:tc>
          <w:tcPr>
            <w:tcW w:w="2552" w:type="dxa"/>
            <w:tcBorders>
              <w:top w:val="nil"/>
              <w:left w:val="nil"/>
              <w:bottom w:val="single" w:sz="4" w:space="0" w:color="auto"/>
              <w:right w:val="single" w:sz="4" w:space="0" w:color="auto"/>
            </w:tcBorders>
            <w:shd w:val="clear" w:color="000000" w:fill="FFFFFF"/>
            <w:vAlign w:val="center"/>
            <w:hideMark/>
          </w:tcPr>
          <w:p w14:paraId="095E9DCE"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0DD89A7E" w14:textId="77777777" w:rsidR="0074287C" w:rsidRPr="007F03BF" w:rsidRDefault="003C7D67" w:rsidP="00A43BF1">
            <w:pPr>
              <w:jc w:val="center"/>
              <w:rPr>
                <w:rFonts w:ascii="Arial" w:hAnsi="Arial" w:cs="Arial"/>
                <w:b/>
                <w:color w:val="000000"/>
                <w:sz w:val="18"/>
                <w:szCs w:val="18"/>
                <w:lang w:eastAsia="es-ES_tradnl"/>
              </w:rPr>
            </w:pPr>
            <w:hyperlink r:id="rId30"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49AB7F28"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092211F7"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36751EE"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21</w:t>
            </w:r>
          </w:p>
        </w:tc>
        <w:tc>
          <w:tcPr>
            <w:tcW w:w="2835" w:type="dxa"/>
            <w:tcBorders>
              <w:top w:val="nil"/>
              <w:left w:val="nil"/>
              <w:bottom w:val="single" w:sz="4" w:space="0" w:color="auto"/>
              <w:right w:val="single" w:sz="4" w:space="0" w:color="auto"/>
            </w:tcBorders>
            <w:shd w:val="clear" w:color="000000" w:fill="FFFFFF"/>
            <w:vAlign w:val="center"/>
            <w:hideMark/>
          </w:tcPr>
          <w:p w14:paraId="5DBF09F3"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Cuajimalpa de Morelos</w:t>
            </w:r>
          </w:p>
        </w:tc>
        <w:tc>
          <w:tcPr>
            <w:tcW w:w="2552" w:type="dxa"/>
            <w:tcBorders>
              <w:top w:val="nil"/>
              <w:left w:val="nil"/>
              <w:bottom w:val="single" w:sz="4" w:space="0" w:color="auto"/>
              <w:right w:val="single" w:sz="4" w:space="0" w:color="auto"/>
            </w:tcBorders>
            <w:shd w:val="clear" w:color="000000" w:fill="FFFFFF"/>
            <w:vAlign w:val="center"/>
            <w:hideMark/>
          </w:tcPr>
          <w:p w14:paraId="04ED9E1A"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2AD6F15C" w14:textId="77777777" w:rsidR="0074287C" w:rsidRPr="007F03BF" w:rsidRDefault="003C7D67" w:rsidP="00A43BF1">
            <w:pPr>
              <w:jc w:val="center"/>
              <w:rPr>
                <w:rFonts w:ascii="Arial" w:hAnsi="Arial" w:cs="Arial"/>
                <w:b/>
                <w:color w:val="000000"/>
                <w:sz w:val="18"/>
                <w:szCs w:val="18"/>
                <w:lang w:eastAsia="es-ES_tradnl"/>
              </w:rPr>
            </w:pPr>
            <w:hyperlink r:id="rId31"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12F62CD1"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474E5DD8"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B17E181"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22</w:t>
            </w:r>
          </w:p>
        </w:tc>
        <w:tc>
          <w:tcPr>
            <w:tcW w:w="2835" w:type="dxa"/>
            <w:tcBorders>
              <w:top w:val="nil"/>
              <w:left w:val="nil"/>
              <w:bottom w:val="single" w:sz="4" w:space="0" w:color="auto"/>
              <w:right w:val="single" w:sz="4" w:space="0" w:color="auto"/>
            </w:tcBorders>
            <w:shd w:val="clear" w:color="000000" w:fill="FFFFFF"/>
            <w:vAlign w:val="center"/>
            <w:hideMark/>
          </w:tcPr>
          <w:p w14:paraId="5E331B94"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Cuauhtémoc</w:t>
            </w:r>
          </w:p>
        </w:tc>
        <w:tc>
          <w:tcPr>
            <w:tcW w:w="2552" w:type="dxa"/>
            <w:tcBorders>
              <w:top w:val="nil"/>
              <w:left w:val="nil"/>
              <w:bottom w:val="single" w:sz="4" w:space="0" w:color="auto"/>
              <w:right w:val="single" w:sz="4" w:space="0" w:color="auto"/>
            </w:tcBorders>
            <w:shd w:val="clear" w:color="000000" w:fill="FFFFFF"/>
            <w:vAlign w:val="center"/>
            <w:hideMark/>
          </w:tcPr>
          <w:p w14:paraId="69B5F792"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04E79115" w14:textId="77777777" w:rsidR="0074287C" w:rsidRPr="007F03BF" w:rsidRDefault="003C7D67" w:rsidP="00A43BF1">
            <w:pPr>
              <w:jc w:val="center"/>
              <w:rPr>
                <w:rFonts w:ascii="Arial" w:hAnsi="Arial" w:cs="Arial"/>
                <w:b/>
                <w:color w:val="000000"/>
                <w:sz w:val="18"/>
                <w:szCs w:val="18"/>
                <w:lang w:eastAsia="es-ES_tradnl"/>
              </w:rPr>
            </w:pPr>
            <w:hyperlink r:id="rId32"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42B57B77"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034B016F"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4730A9A"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23</w:t>
            </w:r>
          </w:p>
        </w:tc>
        <w:tc>
          <w:tcPr>
            <w:tcW w:w="2835" w:type="dxa"/>
            <w:tcBorders>
              <w:top w:val="nil"/>
              <w:left w:val="nil"/>
              <w:bottom w:val="single" w:sz="4" w:space="0" w:color="auto"/>
              <w:right w:val="single" w:sz="4" w:space="0" w:color="auto"/>
            </w:tcBorders>
            <w:shd w:val="clear" w:color="000000" w:fill="FFFFFF"/>
            <w:vAlign w:val="center"/>
            <w:hideMark/>
          </w:tcPr>
          <w:p w14:paraId="6C6A7555"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Gustavo A. Madero</w:t>
            </w:r>
          </w:p>
        </w:tc>
        <w:tc>
          <w:tcPr>
            <w:tcW w:w="2552" w:type="dxa"/>
            <w:tcBorders>
              <w:top w:val="nil"/>
              <w:left w:val="nil"/>
              <w:bottom w:val="single" w:sz="4" w:space="0" w:color="auto"/>
              <w:right w:val="single" w:sz="4" w:space="0" w:color="auto"/>
            </w:tcBorders>
            <w:shd w:val="clear" w:color="000000" w:fill="FFFFFF"/>
            <w:vAlign w:val="center"/>
            <w:hideMark/>
          </w:tcPr>
          <w:p w14:paraId="4B243158"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4685D35C" w14:textId="77777777" w:rsidR="0074287C" w:rsidRPr="007F03BF" w:rsidRDefault="003C7D67" w:rsidP="00A43BF1">
            <w:pPr>
              <w:jc w:val="center"/>
              <w:rPr>
                <w:rFonts w:ascii="Arial" w:hAnsi="Arial" w:cs="Arial"/>
                <w:b/>
                <w:color w:val="000000"/>
                <w:sz w:val="18"/>
                <w:szCs w:val="18"/>
                <w:lang w:eastAsia="es-ES_tradnl"/>
              </w:rPr>
            </w:pPr>
            <w:hyperlink r:id="rId33"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170A5AD3"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084527E7"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F82BC50"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24</w:t>
            </w:r>
          </w:p>
        </w:tc>
        <w:tc>
          <w:tcPr>
            <w:tcW w:w="2835" w:type="dxa"/>
            <w:tcBorders>
              <w:top w:val="nil"/>
              <w:left w:val="nil"/>
              <w:bottom w:val="single" w:sz="4" w:space="0" w:color="auto"/>
              <w:right w:val="single" w:sz="4" w:space="0" w:color="auto"/>
            </w:tcBorders>
            <w:shd w:val="clear" w:color="000000" w:fill="FFFFFF"/>
            <w:vAlign w:val="center"/>
            <w:hideMark/>
          </w:tcPr>
          <w:p w14:paraId="057F43BA"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Iztacalco</w:t>
            </w:r>
          </w:p>
        </w:tc>
        <w:tc>
          <w:tcPr>
            <w:tcW w:w="2552" w:type="dxa"/>
            <w:tcBorders>
              <w:top w:val="nil"/>
              <w:left w:val="nil"/>
              <w:bottom w:val="single" w:sz="4" w:space="0" w:color="auto"/>
              <w:right w:val="single" w:sz="4" w:space="0" w:color="auto"/>
            </w:tcBorders>
            <w:shd w:val="clear" w:color="000000" w:fill="FFFFFF"/>
            <w:vAlign w:val="center"/>
            <w:hideMark/>
          </w:tcPr>
          <w:p w14:paraId="7E55E7F2"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40B023A7" w14:textId="77777777" w:rsidR="0074287C" w:rsidRPr="007F03BF" w:rsidRDefault="003C7D67" w:rsidP="00A43BF1">
            <w:pPr>
              <w:jc w:val="center"/>
              <w:rPr>
                <w:rFonts w:ascii="Arial" w:hAnsi="Arial" w:cs="Arial"/>
                <w:b/>
                <w:color w:val="000000"/>
                <w:sz w:val="18"/>
                <w:szCs w:val="18"/>
                <w:lang w:eastAsia="es-ES_tradnl"/>
              </w:rPr>
            </w:pPr>
            <w:hyperlink r:id="rId34"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40549782"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4EA1B912"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0187BF1"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25</w:t>
            </w:r>
          </w:p>
        </w:tc>
        <w:tc>
          <w:tcPr>
            <w:tcW w:w="2835" w:type="dxa"/>
            <w:tcBorders>
              <w:top w:val="nil"/>
              <w:left w:val="nil"/>
              <w:bottom w:val="single" w:sz="4" w:space="0" w:color="auto"/>
              <w:right w:val="single" w:sz="4" w:space="0" w:color="auto"/>
            </w:tcBorders>
            <w:shd w:val="clear" w:color="000000" w:fill="FFFFFF"/>
            <w:vAlign w:val="center"/>
            <w:hideMark/>
          </w:tcPr>
          <w:p w14:paraId="2657C124"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Iztapalapa</w:t>
            </w:r>
          </w:p>
        </w:tc>
        <w:tc>
          <w:tcPr>
            <w:tcW w:w="2552" w:type="dxa"/>
            <w:tcBorders>
              <w:top w:val="nil"/>
              <w:left w:val="nil"/>
              <w:bottom w:val="single" w:sz="4" w:space="0" w:color="auto"/>
              <w:right w:val="single" w:sz="4" w:space="0" w:color="auto"/>
            </w:tcBorders>
            <w:shd w:val="clear" w:color="000000" w:fill="FFFFFF"/>
            <w:vAlign w:val="center"/>
            <w:hideMark/>
          </w:tcPr>
          <w:p w14:paraId="0F994DD5"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074BB05C" w14:textId="77777777" w:rsidR="0074287C" w:rsidRPr="007F03BF" w:rsidRDefault="003C7D67" w:rsidP="00A43BF1">
            <w:pPr>
              <w:jc w:val="center"/>
              <w:rPr>
                <w:rFonts w:ascii="Arial" w:hAnsi="Arial" w:cs="Arial"/>
                <w:b/>
                <w:color w:val="000000"/>
                <w:sz w:val="18"/>
                <w:szCs w:val="18"/>
                <w:lang w:eastAsia="es-ES_tradnl"/>
              </w:rPr>
            </w:pPr>
            <w:hyperlink r:id="rId35"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7DB973F0"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3B82951F"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D45BD2F"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26</w:t>
            </w:r>
          </w:p>
        </w:tc>
        <w:tc>
          <w:tcPr>
            <w:tcW w:w="2835" w:type="dxa"/>
            <w:tcBorders>
              <w:top w:val="nil"/>
              <w:left w:val="nil"/>
              <w:bottom w:val="single" w:sz="4" w:space="0" w:color="auto"/>
              <w:right w:val="single" w:sz="4" w:space="0" w:color="auto"/>
            </w:tcBorders>
            <w:shd w:val="clear" w:color="000000" w:fill="FFFFFF"/>
            <w:vAlign w:val="center"/>
            <w:hideMark/>
          </w:tcPr>
          <w:p w14:paraId="67777F26"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La Magdalena Contreras</w:t>
            </w:r>
          </w:p>
        </w:tc>
        <w:tc>
          <w:tcPr>
            <w:tcW w:w="2552" w:type="dxa"/>
            <w:tcBorders>
              <w:top w:val="nil"/>
              <w:left w:val="nil"/>
              <w:bottom w:val="single" w:sz="4" w:space="0" w:color="auto"/>
              <w:right w:val="single" w:sz="4" w:space="0" w:color="auto"/>
            </w:tcBorders>
            <w:shd w:val="clear" w:color="000000" w:fill="FFFFFF"/>
            <w:vAlign w:val="center"/>
            <w:hideMark/>
          </w:tcPr>
          <w:p w14:paraId="6E55D528"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6DDF3F23" w14:textId="77777777" w:rsidR="0074287C" w:rsidRPr="007F03BF" w:rsidRDefault="003C7D67" w:rsidP="00A43BF1">
            <w:pPr>
              <w:jc w:val="center"/>
              <w:rPr>
                <w:rFonts w:ascii="Arial" w:hAnsi="Arial" w:cs="Arial"/>
                <w:b/>
                <w:color w:val="000000"/>
                <w:sz w:val="18"/>
                <w:szCs w:val="18"/>
                <w:lang w:eastAsia="es-ES_tradnl"/>
              </w:rPr>
            </w:pPr>
            <w:hyperlink r:id="rId36"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2886193A"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21E5BFA1"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B9F91F1"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27</w:t>
            </w:r>
          </w:p>
        </w:tc>
        <w:tc>
          <w:tcPr>
            <w:tcW w:w="2835" w:type="dxa"/>
            <w:tcBorders>
              <w:top w:val="nil"/>
              <w:left w:val="nil"/>
              <w:bottom w:val="single" w:sz="4" w:space="0" w:color="auto"/>
              <w:right w:val="single" w:sz="4" w:space="0" w:color="auto"/>
            </w:tcBorders>
            <w:shd w:val="clear" w:color="000000" w:fill="FFFFFF"/>
            <w:vAlign w:val="center"/>
            <w:hideMark/>
          </w:tcPr>
          <w:p w14:paraId="53AE8F8F"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Miguel Hidalgo</w:t>
            </w:r>
          </w:p>
        </w:tc>
        <w:tc>
          <w:tcPr>
            <w:tcW w:w="2552" w:type="dxa"/>
            <w:tcBorders>
              <w:top w:val="nil"/>
              <w:left w:val="nil"/>
              <w:bottom w:val="single" w:sz="4" w:space="0" w:color="auto"/>
              <w:right w:val="single" w:sz="4" w:space="0" w:color="auto"/>
            </w:tcBorders>
            <w:shd w:val="clear" w:color="000000" w:fill="FFFFFF"/>
            <w:vAlign w:val="center"/>
            <w:hideMark/>
          </w:tcPr>
          <w:p w14:paraId="6AC645F3"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537675C9" w14:textId="77777777" w:rsidR="0074287C" w:rsidRPr="007F03BF" w:rsidRDefault="003C7D67" w:rsidP="00A43BF1">
            <w:pPr>
              <w:jc w:val="center"/>
              <w:rPr>
                <w:rFonts w:ascii="Arial" w:hAnsi="Arial" w:cs="Arial"/>
                <w:b/>
                <w:color w:val="000000"/>
                <w:sz w:val="18"/>
                <w:szCs w:val="18"/>
                <w:lang w:eastAsia="es-ES_tradnl"/>
              </w:rPr>
            </w:pPr>
            <w:hyperlink r:id="rId37"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02917943"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38DEEF5A"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5F5577D"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28</w:t>
            </w:r>
          </w:p>
        </w:tc>
        <w:tc>
          <w:tcPr>
            <w:tcW w:w="2835" w:type="dxa"/>
            <w:tcBorders>
              <w:top w:val="nil"/>
              <w:left w:val="nil"/>
              <w:bottom w:val="single" w:sz="4" w:space="0" w:color="auto"/>
              <w:right w:val="single" w:sz="4" w:space="0" w:color="auto"/>
            </w:tcBorders>
            <w:shd w:val="clear" w:color="000000" w:fill="FFFFFF"/>
            <w:vAlign w:val="center"/>
            <w:hideMark/>
          </w:tcPr>
          <w:p w14:paraId="302A1247"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Milpa Alta</w:t>
            </w:r>
          </w:p>
        </w:tc>
        <w:tc>
          <w:tcPr>
            <w:tcW w:w="2552" w:type="dxa"/>
            <w:tcBorders>
              <w:top w:val="nil"/>
              <w:left w:val="nil"/>
              <w:bottom w:val="single" w:sz="4" w:space="0" w:color="auto"/>
              <w:right w:val="single" w:sz="4" w:space="0" w:color="auto"/>
            </w:tcBorders>
            <w:shd w:val="clear" w:color="000000" w:fill="FFFFFF"/>
            <w:vAlign w:val="center"/>
            <w:hideMark/>
          </w:tcPr>
          <w:p w14:paraId="590C0CA7"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3E4E3ADC" w14:textId="77777777" w:rsidR="0074287C" w:rsidRPr="007F03BF" w:rsidRDefault="003C7D67" w:rsidP="00A43BF1">
            <w:pPr>
              <w:jc w:val="center"/>
              <w:rPr>
                <w:rFonts w:ascii="Arial" w:hAnsi="Arial" w:cs="Arial"/>
                <w:b/>
                <w:color w:val="000000"/>
                <w:sz w:val="18"/>
                <w:szCs w:val="18"/>
                <w:lang w:eastAsia="es-ES_tradnl"/>
              </w:rPr>
            </w:pPr>
            <w:hyperlink r:id="rId38"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5A34DBBE"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4F82C2A1"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B9115AD"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lastRenderedPageBreak/>
              <w:t>29</w:t>
            </w:r>
          </w:p>
        </w:tc>
        <w:tc>
          <w:tcPr>
            <w:tcW w:w="2835" w:type="dxa"/>
            <w:tcBorders>
              <w:top w:val="nil"/>
              <w:left w:val="nil"/>
              <w:bottom w:val="single" w:sz="4" w:space="0" w:color="auto"/>
              <w:right w:val="single" w:sz="4" w:space="0" w:color="auto"/>
            </w:tcBorders>
            <w:shd w:val="clear" w:color="000000" w:fill="FFFFFF"/>
            <w:vAlign w:val="center"/>
            <w:hideMark/>
          </w:tcPr>
          <w:p w14:paraId="67F980B6"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Tláhuac</w:t>
            </w:r>
          </w:p>
        </w:tc>
        <w:tc>
          <w:tcPr>
            <w:tcW w:w="2552" w:type="dxa"/>
            <w:tcBorders>
              <w:top w:val="nil"/>
              <w:left w:val="nil"/>
              <w:bottom w:val="single" w:sz="4" w:space="0" w:color="auto"/>
              <w:right w:val="single" w:sz="4" w:space="0" w:color="auto"/>
            </w:tcBorders>
            <w:shd w:val="clear" w:color="000000" w:fill="FFFFFF"/>
            <w:vAlign w:val="center"/>
            <w:hideMark/>
          </w:tcPr>
          <w:p w14:paraId="69CBB16A"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46620D8B" w14:textId="77777777" w:rsidR="0074287C" w:rsidRPr="007F03BF" w:rsidRDefault="003C7D67" w:rsidP="00A43BF1">
            <w:pPr>
              <w:jc w:val="center"/>
              <w:rPr>
                <w:rFonts w:ascii="Arial" w:hAnsi="Arial" w:cs="Arial"/>
                <w:b/>
                <w:color w:val="000000"/>
                <w:sz w:val="18"/>
                <w:szCs w:val="18"/>
                <w:lang w:eastAsia="es-ES_tradnl"/>
              </w:rPr>
            </w:pPr>
            <w:hyperlink r:id="rId39"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3AAE65C3"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44D90213"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6717DB1"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30</w:t>
            </w:r>
          </w:p>
        </w:tc>
        <w:tc>
          <w:tcPr>
            <w:tcW w:w="2835" w:type="dxa"/>
            <w:tcBorders>
              <w:top w:val="nil"/>
              <w:left w:val="nil"/>
              <w:bottom w:val="single" w:sz="4" w:space="0" w:color="auto"/>
              <w:right w:val="single" w:sz="4" w:space="0" w:color="auto"/>
            </w:tcBorders>
            <w:shd w:val="clear" w:color="000000" w:fill="FFFFFF"/>
            <w:vAlign w:val="center"/>
            <w:hideMark/>
          </w:tcPr>
          <w:p w14:paraId="2AEFDC06"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Tlalpan</w:t>
            </w:r>
          </w:p>
        </w:tc>
        <w:tc>
          <w:tcPr>
            <w:tcW w:w="2552" w:type="dxa"/>
            <w:tcBorders>
              <w:top w:val="nil"/>
              <w:left w:val="nil"/>
              <w:bottom w:val="single" w:sz="4" w:space="0" w:color="auto"/>
              <w:right w:val="single" w:sz="4" w:space="0" w:color="auto"/>
            </w:tcBorders>
            <w:shd w:val="clear" w:color="000000" w:fill="FFFFFF"/>
            <w:vAlign w:val="center"/>
            <w:hideMark/>
          </w:tcPr>
          <w:p w14:paraId="4ED89B29"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66C54A96" w14:textId="77777777" w:rsidR="0074287C" w:rsidRPr="007F03BF" w:rsidRDefault="003C7D67" w:rsidP="00A43BF1">
            <w:pPr>
              <w:jc w:val="center"/>
              <w:rPr>
                <w:rFonts w:ascii="Arial" w:hAnsi="Arial" w:cs="Arial"/>
                <w:b/>
                <w:color w:val="000000"/>
                <w:sz w:val="18"/>
                <w:szCs w:val="18"/>
                <w:lang w:eastAsia="es-ES_tradnl"/>
              </w:rPr>
            </w:pPr>
            <w:hyperlink r:id="rId40"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39CB3C67"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54D59426"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43177C1"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31</w:t>
            </w:r>
          </w:p>
        </w:tc>
        <w:tc>
          <w:tcPr>
            <w:tcW w:w="2835" w:type="dxa"/>
            <w:tcBorders>
              <w:top w:val="nil"/>
              <w:left w:val="nil"/>
              <w:bottom w:val="single" w:sz="4" w:space="0" w:color="auto"/>
              <w:right w:val="single" w:sz="4" w:space="0" w:color="auto"/>
            </w:tcBorders>
            <w:shd w:val="clear" w:color="000000" w:fill="FFFFFF"/>
            <w:vAlign w:val="center"/>
            <w:hideMark/>
          </w:tcPr>
          <w:p w14:paraId="08CC13B0"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Venustiano Carranza</w:t>
            </w:r>
          </w:p>
        </w:tc>
        <w:tc>
          <w:tcPr>
            <w:tcW w:w="2552" w:type="dxa"/>
            <w:tcBorders>
              <w:top w:val="nil"/>
              <w:left w:val="nil"/>
              <w:bottom w:val="single" w:sz="4" w:space="0" w:color="auto"/>
              <w:right w:val="single" w:sz="4" w:space="0" w:color="auto"/>
            </w:tcBorders>
            <w:shd w:val="clear" w:color="000000" w:fill="FFFFFF"/>
            <w:vAlign w:val="center"/>
            <w:hideMark/>
          </w:tcPr>
          <w:p w14:paraId="181C01FC"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0584D91F" w14:textId="77777777" w:rsidR="0074287C" w:rsidRPr="007F03BF" w:rsidRDefault="003C7D67" w:rsidP="00A43BF1">
            <w:pPr>
              <w:jc w:val="center"/>
              <w:rPr>
                <w:rFonts w:ascii="Arial" w:hAnsi="Arial" w:cs="Arial"/>
                <w:b/>
                <w:color w:val="000000"/>
                <w:sz w:val="18"/>
                <w:szCs w:val="18"/>
                <w:lang w:eastAsia="es-ES_tradnl"/>
              </w:rPr>
            </w:pPr>
            <w:hyperlink r:id="rId41"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548A330E"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623C3673"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0A15D82" w14:textId="77777777" w:rsidR="0074287C" w:rsidRPr="007F03BF" w:rsidRDefault="0074287C" w:rsidP="00A43BF1">
            <w:pPr>
              <w:jc w:val="center"/>
              <w:rPr>
                <w:rFonts w:ascii="Arial" w:hAnsi="Arial" w:cs="Arial"/>
                <w:color w:val="000000"/>
                <w:sz w:val="18"/>
                <w:szCs w:val="18"/>
                <w:lang w:eastAsia="es-ES_tradnl"/>
              </w:rPr>
            </w:pPr>
            <w:r w:rsidRPr="007F03BF">
              <w:rPr>
                <w:rFonts w:ascii="Arial" w:hAnsi="Arial" w:cs="Arial"/>
                <w:color w:val="000000"/>
                <w:sz w:val="18"/>
                <w:szCs w:val="18"/>
                <w:lang w:eastAsia="es-ES_tradnl"/>
              </w:rPr>
              <w:t>32</w:t>
            </w:r>
          </w:p>
        </w:tc>
        <w:tc>
          <w:tcPr>
            <w:tcW w:w="2835" w:type="dxa"/>
            <w:tcBorders>
              <w:top w:val="nil"/>
              <w:left w:val="nil"/>
              <w:bottom w:val="single" w:sz="4" w:space="0" w:color="auto"/>
              <w:right w:val="single" w:sz="4" w:space="0" w:color="auto"/>
            </w:tcBorders>
            <w:shd w:val="clear" w:color="000000" w:fill="FFFFFF"/>
            <w:vAlign w:val="center"/>
            <w:hideMark/>
          </w:tcPr>
          <w:p w14:paraId="698D06B0"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Alcaldía Xochimilco</w:t>
            </w:r>
          </w:p>
        </w:tc>
        <w:tc>
          <w:tcPr>
            <w:tcW w:w="2552" w:type="dxa"/>
            <w:tcBorders>
              <w:top w:val="nil"/>
              <w:left w:val="nil"/>
              <w:bottom w:val="single" w:sz="4" w:space="0" w:color="auto"/>
              <w:right w:val="single" w:sz="4" w:space="0" w:color="auto"/>
            </w:tcBorders>
            <w:shd w:val="clear" w:color="000000" w:fill="FFFFFF"/>
            <w:vAlign w:val="center"/>
            <w:hideMark/>
          </w:tcPr>
          <w:p w14:paraId="62466C32" w14:textId="77777777" w:rsidR="0074287C" w:rsidRPr="007F03BF" w:rsidRDefault="0074287C" w:rsidP="00A43BF1">
            <w:pPr>
              <w:rPr>
                <w:rFonts w:ascii="Arial" w:hAnsi="Arial" w:cs="Arial"/>
                <w:color w:val="000000"/>
                <w:sz w:val="18"/>
                <w:szCs w:val="18"/>
                <w:lang w:eastAsia="es-ES_tradnl"/>
              </w:rPr>
            </w:pPr>
            <w:r w:rsidRPr="007F03BF">
              <w:rPr>
                <w:rFonts w:ascii="Arial" w:hAnsi="Arial" w:cs="Arial"/>
                <w:color w:val="000000"/>
                <w:sz w:val="18"/>
                <w:szCs w:val="18"/>
                <w:lang w:eastAsia="es-ES_tradnl"/>
              </w:rPr>
              <w:t xml:space="preserve">Poder Ejecutivo - Demarcaciones Políticas </w:t>
            </w:r>
          </w:p>
        </w:tc>
        <w:tc>
          <w:tcPr>
            <w:tcW w:w="1843" w:type="dxa"/>
            <w:tcBorders>
              <w:top w:val="nil"/>
              <w:left w:val="nil"/>
              <w:bottom w:val="single" w:sz="4" w:space="0" w:color="auto"/>
              <w:right w:val="single" w:sz="4" w:space="0" w:color="auto"/>
            </w:tcBorders>
            <w:shd w:val="clear" w:color="000000" w:fill="FFFFFF"/>
            <w:vAlign w:val="center"/>
            <w:hideMark/>
          </w:tcPr>
          <w:p w14:paraId="42B1A756" w14:textId="77777777" w:rsidR="0074287C" w:rsidRPr="007F03BF" w:rsidRDefault="003C7D67" w:rsidP="00A43BF1">
            <w:pPr>
              <w:jc w:val="center"/>
              <w:rPr>
                <w:rFonts w:ascii="Arial" w:hAnsi="Arial" w:cs="Arial"/>
                <w:b/>
                <w:color w:val="000000"/>
                <w:sz w:val="18"/>
                <w:szCs w:val="18"/>
                <w:lang w:eastAsia="es-ES_tradnl"/>
              </w:rPr>
            </w:pPr>
            <w:hyperlink r:id="rId42" w:tgtFrame="_Blank" w:history="1">
              <w:r w:rsidR="0074287C" w:rsidRPr="007F03BF">
                <w:rPr>
                  <w:rFonts w:ascii="Arial" w:hAnsi="Arial" w:cs="Arial"/>
                  <w:b/>
                  <w:color w:val="000000"/>
                  <w:sz w:val="18"/>
                  <w:szCs w:val="18"/>
                  <w:lang w:eastAsia="es-ES_tradnl"/>
                </w:rPr>
                <w:t>0107/SO/30-01/2019</w:t>
              </w:r>
            </w:hyperlink>
          </w:p>
        </w:tc>
        <w:tc>
          <w:tcPr>
            <w:tcW w:w="1152" w:type="dxa"/>
            <w:tcBorders>
              <w:top w:val="nil"/>
              <w:left w:val="nil"/>
              <w:bottom w:val="single" w:sz="4" w:space="0" w:color="auto"/>
              <w:right w:val="single" w:sz="4" w:space="0" w:color="auto"/>
            </w:tcBorders>
            <w:shd w:val="clear" w:color="000000" w:fill="FFFFFF"/>
            <w:vAlign w:val="center"/>
            <w:hideMark/>
          </w:tcPr>
          <w:p w14:paraId="346D5AAC" w14:textId="77777777" w:rsidR="0074287C" w:rsidRPr="007F03BF" w:rsidRDefault="0074287C" w:rsidP="00A43BF1">
            <w:pPr>
              <w:jc w:val="center"/>
              <w:rPr>
                <w:rFonts w:ascii="Arial" w:hAnsi="Arial" w:cs="Arial"/>
                <w:sz w:val="18"/>
                <w:szCs w:val="18"/>
                <w:lang w:eastAsia="es-ES_tradnl"/>
              </w:rPr>
            </w:pPr>
            <w:r w:rsidRPr="007F03BF">
              <w:rPr>
                <w:rFonts w:ascii="Arial" w:hAnsi="Arial" w:cs="Arial"/>
                <w:sz w:val="18"/>
                <w:szCs w:val="18"/>
                <w:lang w:eastAsia="es-ES_tradnl"/>
              </w:rPr>
              <w:t>30/01/2019</w:t>
            </w:r>
          </w:p>
        </w:tc>
      </w:tr>
      <w:tr w:rsidR="0074287C" w:rsidRPr="007F03BF" w14:paraId="559248E4" w14:textId="77777777" w:rsidTr="00A43BF1">
        <w:trPr>
          <w:trHeight w:val="680"/>
        </w:trPr>
        <w:tc>
          <w:tcPr>
            <w:tcW w:w="567" w:type="dxa"/>
            <w:tcBorders>
              <w:top w:val="nil"/>
              <w:left w:val="single" w:sz="4" w:space="0" w:color="auto"/>
              <w:bottom w:val="single" w:sz="4" w:space="0" w:color="auto"/>
              <w:right w:val="single" w:sz="4" w:space="0" w:color="auto"/>
            </w:tcBorders>
            <w:shd w:val="clear" w:color="000000" w:fill="FFFFFF"/>
            <w:hideMark/>
          </w:tcPr>
          <w:p w14:paraId="3B01BBEF" w14:textId="77777777" w:rsidR="0074287C" w:rsidRPr="007F03BF" w:rsidRDefault="0074287C" w:rsidP="00A43BF1">
            <w:pPr>
              <w:jc w:val="center"/>
              <w:rPr>
                <w:rFonts w:ascii="Arial" w:hAnsi="Arial" w:cs="Arial"/>
                <w:color w:val="000000"/>
                <w:sz w:val="18"/>
                <w:szCs w:val="18"/>
              </w:rPr>
            </w:pPr>
            <w:r w:rsidRPr="007F03BF">
              <w:rPr>
                <w:rFonts w:ascii="Arial" w:hAnsi="Arial" w:cs="Arial"/>
                <w:color w:val="000000"/>
                <w:sz w:val="18"/>
                <w:szCs w:val="18"/>
              </w:rPr>
              <w:t>33</w:t>
            </w:r>
          </w:p>
        </w:tc>
        <w:tc>
          <w:tcPr>
            <w:tcW w:w="2835" w:type="dxa"/>
            <w:tcBorders>
              <w:top w:val="nil"/>
              <w:left w:val="nil"/>
              <w:bottom w:val="single" w:sz="4" w:space="0" w:color="auto"/>
              <w:right w:val="single" w:sz="4" w:space="0" w:color="auto"/>
            </w:tcBorders>
            <w:shd w:val="clear" w:color="000000" w:fill="FFFFFF"/>
            <w:hideMark/>
          </w:tcPr>
          <w:p w14:paraId="4C9397B7" w14:textId="77777777" w:rsidR="0074287C" w:rsidRPr="007F03BF" w:rsidRDefault="0074287C" w:rsidP="00A43BF1">
            <w:pPr>
              <w:rPr>
                <w:rFonts w:ascii="Arial" w:hAnsi="Arial" w:cs="Arial"/>
                <w:color w:val="000000"/>
                <w:sz w:val="18"/>
                <w:szCs w:val="18"/>
              </w:rPr>
            </w:pPr>
            <w:r w:rsidRPr="007F03BF">
              <w:rPr>
                <w:rFonts w:ascii="Arial" w:hAnsi="Arial" w:cs="Arial"/>
                <w:color w:val="000000"/>
                <w:sz w:val="18"/>
                <w:szCs w:val="18"/>
              </w:rPr>
              <w:t>Congreso de la Ciudad de México</w:t>
            </w:r>
          </w:p>
        </w:tc>
        <w:tc>
          <w:tcPr>
            <w:tcW w:w="2552" w:type="dxa"/>
            <w:tcBorders>
              <w:top w:val="nil"/>
              <w:left w:val="nil"/>
              <w:bottom w:val="single" w:sz="4" w:space="0" w:color="auto"/>
              <w:right w:val="single" w:sz="4" w:space="0" w:color="auto"/>
            </w:tcBorders>
            <w:shd w:val="clear" w:color="000000" w:fill="FFFFFF"/>
            <w:hideMark/>
          </w:tcPr>
          <w:p w14:paraId="553023CB" w14:textId="77777777" w:rsidR="0074287C" w:rsidRPr="007F03BF" w:rsidRDefault="0074287C" w:rsidP="00A43BF1">
            <w:pPr>
              <w:rPr>
                <w:rFonts w:ascii="Arial" w:hAnsi="Arial" w:cs="Arial"/>
                <w:color w:val="000000"/>
                <w:sz w:val="18"/>
                <w:szCs w:val="18"/>
              </w:rPr>
            </w:pPr>
            <w:r w:rsidRPr="007F03BF">
              <w:rPr>
                <w:rFonts w:ascii="Arial" w:hAnsi="Arial" w:cs="Arial"/>
                <w:color w:val="000000"/>
                <w:sz w:val="18"/>
                <w:szCs w:val="18"/>
              </w:rPr>
              <w:t>Poder Legislativo</w:t>
            </w:r>
          </w:p>
        </w:tc>
        <w:tc>
          <w:tcPr>
            <w:tcW w:w="1843" w:type="dxa"/>
            <w:tcBorders>
              <w:top w:val="nil"/>
              <w:left w:val="nil"/>
              <w:bottom w:val="single" w:sz="4" w:space="0" w:color="auto"/>
              <w:right w:val="single" w:sz="4" w:space="0" w:color="auto"/>
            </w:tcBorders>
            <w:shd w:val="clear" w:color="000000" w:fill="FFFFFF"/>
            <w:hideMark/>
          </w:tcPr>
          <w:p w14:paraId="32D9F432" w14:textId="77777777" w:rsidR="0074287C" w:rsidRPr="007F03BF" w:rsidRDefault="003C7D67" w:rsidP="00A43BF1">
            <w:pPr>
              <w:jc w:val="center"/>
              <w:rPr>
                <w:rFonts w:ascii="Arial" w:hAnsi="Arial" w:cs="Arial"/>
                <w:b/>
                <w:color w:val="000000"/>
                <w:sz w:val="18"/>
                <w:szCs w:val="18"/>
                <w:lang w:eastAsia="es-ES_tradnl"/>
              </w:rPr>
            </w:pPr>
            <w:hyperlink r:id="rId43" w:tgtFrame="_Blank" w:history="1">
              <w:r w:rsidR="0074287C" w:rsidRPr="007F03BF">
                <w:rPr>
                  <w:rFonts w:ascii="Arial" w:hAnsi="Arial" w:cs="Arial"/>
                  <w:b/>
                  <w:color w:val="000000"/>
                  <w:sz w:val="18"/>
                  <w:szCs w:val="18"/>
                  <w:lang w:eastAsia="es-ES_tradnl"/>
                </w:rPr>
                <w:t>0144/SO/07-02/2019</w:t>
              </w:r>
            </w:hyperlink>
          </w:p>
        </w:tc>
        <w:tc>
          <w:tcPr>
            <w:tcW w:w="1152" w:type="dxa"/>
            <w:tcBorders>
              <w:top w:val="nil"/>
              <w:left w:val="nil"/>
              <w:bottom w:val="single" w:sz="4" w:space="0" w:color="auto"/>
              <w:right w:val="single" w:sz="4" w:space="0" w:color="auto"/>
            </w:tcBorders>
            <w:shd w:val="clear" w:color="000000" w:fill="FFFFFF"/>
            <w:hideMark/>
          </w:tcPr>
          <w:p w14:paraId="6E79E6A5" w14:textId="77777777" w:rsidR="0074287C" w:rsidRPr="007F03BF" w:rsidRDefault="0074287C" w:rsidP="00A43BF1">
            <w:pPr>
              <w:jc w:val="center"/>
              <w:rPr>
                <w:rFonts w:ascii="Arial" w:hAnsi="Arial" w:cs="Arial"/>
                <w:sz w:val="18"/>
                <w:szCs w:val="18"/>
              </w:rPr>
            </w:pPr>
            <w:r w:rsidRPr="007F03BF">
              <w:rPr>
                <w:rFonts w:ascii="Arial" w:hAnsi="Arial" w:cs="Arial"/>
                <w:sz w:val="18"/>
                <w:szCs w:val="18"/>
              </w:rPr>
              <w:t>07/02/2019</w:t>
            </w:r>
          </w:p>
        </w:tc>
      </w:tr>
      <w:tr w:rsidR="0074287C" w:rsidRPr="007F03BF" w14:paraId="6C6504D3" w14:textId="77777777" w:rsidTr="00A43BF1">
        <w:trPr>
          <w:trHeight w:val="1360"/>
        </w:trPr>
        <w:tc>
          <w:tcPr>
            <w:tcW w:w="567" w:type="dxa"/>
            <w:tcBorders>
              <w:top w:val="nil"/>
              <w:left w:val="single" w:sz="4" w:space="0" w:color="auto"/>
              <w:bottom w:val="single" w:sz="4" w:space="0" w:color="auto"/>
              <w:right w:val="single" w:sz="4" w:space="0" w:color="auto"/>
            </w:tcBorders>
            <w:shd w:val="clear" w:color="000000" w:fill="FFFFFF"/>
            <w:hideMark/>
          </w:tcPr>
          <w:p w14:paraId="680343E5" w14:textId="77777777" w:rsidR="0074287C" w:rsidRPr="007F03BF" w:rsidRDefault="0074287C" w:rsidP="00A43BF1">
            <w:pPr>
              <w:jc w:val="center"/>
              <w:rPr>
                <w:rFonts w:ascii="Arial" w:hAnsi="Arial" w:cs="Arial"/>
                <w:color w:val="000000"/>
                <w:sz w:val="18"/>
                <w:szCs w:val="18"/>
              </w:rPr>
            </w:pPr>
            <w:r w:rsidRPr="007F03BF">
              <w:rPr>
                <w:rFonts w:ascii="Arial" w:hAnsi="Arial" w:cs="Arial"/>
                <w:color w:val="000000"/>
                <w:sz w:val="18"/>
                <w:szCs w:val="18"/>
              </w:rPr>
              <w:t>34</w:t>
            </w:r>
          </w:p>
        </w:tc>
        <w:tc>
          <w:tcPr>
            <w:tcW w:w="2835" w:type="dxa"/>
            <w:tcBorders>
              <w:top w:val="nil"/>
              <w:left w:val="nil"/>
              <w:bottom w:val="single" w:sz="4" w:space="0" w:color="auto"/>
              <w:right w:val="single" w:sz="4" w:space="0" w:color="auto"/>
            </w:tcBorders>
            <w:shd w:val="clear" w:color="000000" w:fill="FFFFFF"/>
            <w:hideMark/>
          </w:tcPr>
          <w:p w14:paraId="605085B3" w14:textId="77777777" w:rsidR="0074287C" w:rsidRPr="007F03BF" w:rsidRDefault="0074287C" w:rsidP="00A43BF1">
            <w:pPr>
              <w:rPr>
                <w:rFonts w:ascii="Arial" w:hAnsi="Arial" w:cs="Arial"/>
                <w:color w:val="000000"/>
                <w:sz w:val="18"/>
                <w:szCs w:val="18"/>
              </w:rPr>
            </w:pPr>
            <w:r w:rsidRPr="007F03BF">
              <w:rPr>
                <w:rFonts w:ascii="Arial" w:hAnsi="Arial" w:cs="Arial"/>
                <w:color w:val="000000"/>
                <w:sz w:val="18"/>
                <w:szCs w:val="18"/>
              </w:rPr>
              <w:t>Instituto de Transparencia, Acceso a la Información Pública, Protección de Datos Personales y Rendición de Cuentas de la Ciudad de México</w:t>
            </w:r>
          </w:p>
        </w:tc>
        <w:tc>
          <w:tcPr>
            <w:tcW w:w="2552" w:type="dxa"/>
            <w:tcBorders>
              <w:top w:val="nil"/>
              <w:left w:val="nil"/>
              <w:bottom w:val="single" w:sz="4" w:space="0" w:color="auto"/>
              <w:right w:val="single" w:sz="4" w:space="0" w:color="auto"/>
            </w:tcBorders>
            <w:shd w:val="clear" w:color="000000" w:fill="FFFFFF"/>
            <w:hideMark/>
          </w:tcPr>
          <w:p w14:paraId="0C26183F" w14:textId="77777777" w:rsidR="0074287C" w:rsidRPr="007F03BF" w:rsidRDefault="0074287C" w:rsidP="00A43BF1">
            <w:pPr>
              <w:rPr>
                <w:rFonts w:ascii="Arial" w:hAnsi="Arial" w:cs="Arial"/>
                <w:color w:val="000000"/>
                <w:sz w:val="18"/>
                <w:szCs w:val="18"/>
              </w:rPr>
            </w:pPr>
            <w:r w:rsidRPr="007F03BF">
              <w:rPr>
                <w:rFonts w:ascii="Arial" w:hAnsi="Arial" w:cs="Arial"/>
                <w:color w:val="000000"/>
                <w:sz w:val="18"/>
                <w:szCs w:val="18"/>
              </w:rPr>
              <w:t>Órganos Autónomos</w:t>
            </w:r>
          </w:p>
        </w:tc>
        <w:tc>
          <w:tcPr>
            <w:tcW w:w="1843" w:type="dxa"/>
            <w:tcBorders>
              <w:top w:val="nil"/>
              <w:left w:val="nil"/>
              <w:bottom w:val="single" w:sz="4" w:space="0" w:color="auto"/>
              <w:right w:val="single" w:sz="4" w:space="0" w:color="auto"/>
            </w:tcBorders>
            <w:shd w:val="clear" w:color="000000" w:fill="FFFFFF"/>
            <w:hideMark/>
          </w:tcPr>
          <w:p w14:paraId="2C7CD1CD" w14:textId="77777777" w:rsidR="0074287C" w:rsidRPr="007F03BF" w:rsidRDefault="003C7D67" w:rsidP="00A43BF1">
            <w:pPr>
              <w:jc w:val="center"/>
              <w:rPr>
                <w:rFonts w:ascii="Arial" w:hAnsi="Arial" w:cs="Arial"/>
                <w:b/>
                <w:color w:val="000000"/>
                <w:sz w:val="18"/>
                <w:szCs w:val="18"/>
                <w:lang w:eastAsia="es-ES_tradnl"/>
              </w:rPr>
            </w:pPr>
            <w:hyperlink r:id="rId44" w:tgtFrame="_Blank" w:history="1">
              <w:r w:rsidR="0074287C" w:rsidRPr="007F03BF">
                <w:rPr>
                  <w:rFonts w:ascii="Arial" w:hAnsi="Arial" w:cs="Arial"/>
                  <w:b/>
                  <w:color w:val="000000"/>
                  <w:sz w:val="18"/>
                  <w:szCs w:val="18"/>
                  <w:lang w:eastAsia="es-ES_tradnl"/>
                </w:rPr>
                <w:t>0145/SO/07-02/2019</w:t>
              </w:r>
            </w:hyperlink>
          </w:p>
        </w:tc>
        <w:tc>
          <w:tcPr>
            <w:tcW w:w="1152" w:type="dxa"/>
            <w:tcBorders>
              <w:top w:val="nil"/>
              <w:left w:val="nil"/>
              <w:bottom w:val="single" w:sz="4" w:space="0" w:color="auto"/>
              <w:right w:val="single" w:sz="4" w:space="0" w:color="auto"/>
            </w:tcBorders>
            <w:shd w:val="clear" w:color="000000" w:fill="FFFFFF"/>
            <w:hideMark/>
          </w:tcPr>
          <w:p w14:paraId="4B895FB1" w14:textId="77777777" w:rsidR="0074287C" w:rsidRPr="007F03BF" w:rsidRDefault="0074287C" w:rsidP="00A43BF1">
            <w:pPr>
              <w:jc w:val="center"/>
              <w:rPr>
                <w:rFonts w:ascii="Arial" w:hAnsi="Arial" w:cs="Arial"/>
                <w:sz w:val="18"/>
                <w:szCs w:val="18"/>
              </w:rPr>
            </w:pPr>
            <w:r w:rsidRPr="007F03BF">
              <w:rPr>
                <w:rFonts w:ascii="Arial" w:hAnsi="Arial" w:cs="Arial"/>
                <w:sz w:val="18"/>
                <w:szCs w:val="18"/>
              </w:rPr>
              <w:t>07/02/2019</w:t>
            </w:r>
          </w:p>
          <w:p w14:paraId="7028E84F" w14:textId="77777777" w:rsidR="0074287C" w:rsidRPr="007F03BF" w:rsidRDefault="0074287C" w:rsidP="00A43BF1">
            <w:pPr>
              <w:jc w:val="center"/>
              <w:rPr>
                <w:rFonts w:ascii="Arial" w:hAnsi="Arial" w:cs="Arial"/>
                <w:sz w:val="18"/>
                <w:szCs w:val="18"/>
              </w:rPr>
            </w:pPr>
          </w:p>
        </w:tc>
      </w:tr>
      <w:tr w:rsidR="0074287C" w:rsidRPr="007F03BF" w14:paraId="2611C88C" w14:textId="77777777" w:rsidTr="00A43BF1">
        <w:trPr>
          <w:trHeight w:val="340"/>
        </w:trPr>
        <w:tc>
          <w:tcPr>
            <w:tcW w:w="567" w:type="dxa"/>
            <w:tcBorders>
              <w:top w:val="nil"/>
              <w:left w:val="single" w:sz="4" w:space="0" w:color="auto"/>
              <w:bottom w:val="single" w:sz="4" w:space="0" w:color="auto"/>
              <w:right w:val="single" w:sz="4" w:space="0" w:color="auto"/>
            </w:tcBorders>
            <w:shd w:val="clear" w:color="000000" w:fill="FFFFFF"/>
            <w:hideMark/>
          </w:tcPr>
          <w:p w14:paraId="7A7702AB" w14:textId="77777777" w:rsidR="0074287C" w:rsidRPr="007F03BF" w:rsidRDefault="0074287C" w:rsidP="00A43BF1">
            <w:pPr>
              <w:jc w:val="center"/>
              <w:rPr>
                <w:rFonts w:ascii="Arial" w:hAnsi="Arial" w:cs="Arial"/>
                <w:color w:val="000000"/>
                <w:sz w:val="18"/>
                <w:szCs w:val="18"/>
              </w:rPr>
            </w:pPr>
            <w:r w:rsidRPr="007F03BF">
              <w:rPr>
                <w:rFonts w:ascii="Arial" w:hAnsi="Arial" w:cs="Arial"/>
                <w:color w:val="000000"/>
                <w:sz w:val="18"/>
                <w:szCs w:val="18"/>
              </w:rPr>
              <w:t>35</w:t>
            </w:r>
          </w:p>
        </w:tc>
        <w:tc>
          <w:tcPr>
            <w:tcW w:w="2835" w:type="dxa"/>
            <w:tcBorders>
              <w:top w:val="nil"/>
              <w:left w:val="nil"/>
              <w:bottom w:val="single" w:sz="4" w:space="0" w:color="auto"/>
              <w:right w:val="single" w:sz="4" w:space="0" w:color="auto"/>
            </w:tcBorders>
            <w:shd w:val="clear" w:color="000000" w:fill="FFFFFF"/>
            <w:hideMark/>
          </w:tcPr>
          <w:p w14:paraId="42AE493D" w14:textId="77777777" w:rsidR="0074287C" w:rsidRPr="007F03BF" w:rsidRDefault="0074287C" w:rsidP="00A43BF1">
            <w:pPr>
              <w:rPr>
                <w:rFonts w:ascii="Arial" w:hAnsi="Arial" w:cs="Arial"/>
                <w:color w:val="000000"/>
                <w:sz w:val="18"/>
                <w:szCs w:val="18"/>
              </w:rPr>
            </w:pPr>
            <w:r w:rsidRPr="007F03BF">
              <w:rPr>
                <w:rFonts w:ascii="Arial" w:hAnsi="Arial" w:cs="Arial"/>
                <w:color w:val="000000"/>
                <w:sz w:val="18"/>
                <w:szCs w:val="18"/>
              </w:rPr>
              <w:t>Sindicato de Trabajadores del Tribunal de Justicia Administrativa de la Ciudad de México</w:t>
            </w:r>
          </w:p>
        </w:tc>
        <w:tc>
          <w:tcPr>
            <w:tcW w:w="2552" w:type="dxa"/>
            <w:tcBorders>
              <w:top w:val="nil"/>
              <w:left w:val="nil"/>
              <w:bottom w:val="single" w:sz="4" w:space="0" w:color="auto"/>
              <w:right w:val="single" w:sz="4" w:space="0" w:color="auto"/>
            </w:tcBorders>
            <w:shd w:val="clear" w:color="000000" w:fill="FFFFFF"/>
            <w:hideMark/>
          </w:tcPr>
          <w:p w14:paraId="333C9163" w14:textId="77777777" w:rsidR="0074287C" w:rsidRPr="007F03BF" w:rsidRDefault="0074287C" w:rsidP="00A43BF1">
            <w:pPr>
              <w:rPr>
                <w:rFonts w:ascii="Arial" w:hAnsi="Arial" w:cs="Arial"/>
                <w:color w:val="000000"/>
                <w:sz w:val="18"/>
                <w:szCs w:val="18"/>
              </w:rPr>
            </w:pPr>
            <w:r w:rsidRPr="007F03BF">
              <w:rPr>
                <w:rFonts w:ascii="Arial" w:hAnsi="Arial" w:cs="Arial"/>
                <w:color w:val="000000"/>
                <w:sz w:val="18"/>
                <w:szCs w:val="18"/>
              </w:rPr>
              <w:t xml:space="preserve">Sindicatos </w:t>
            </w:r>
          </w:p>
        </w:tc>
        <w:tc>
          <w:tcPr>
            <w:tcW w:w="1843" w:type="dxa"/>
            <w:tcBorders>
              <w:top w:val="nil"/>
              <w:left w:val="nil"/>
              <w:bottom w:val="single" w:sz="4" w:space="0" w:color="auto"/>
              <w:right w:val="single" w:sz="4" w:space="0" w:color="auto"/>
            </w:tcBorders>
            <w:shd w:val="clear" w:color="000000" w:fill="FFFFFF"/>
            <w:hideMark/>
          </w:tcPr>
          <w:p w14:paraId="35A24FD8" w14:textId="77777777" w:rsidR="0074287C" w:rsidRPr="007F03BF" w:rsidRDefault="003C7D67" w:rsidP="00A43BF1">
            <w:pPr>
              <w:jc w:val="center"/>
              <w:rPr>
                <w:rFonts w:ascii="Arial" w:hAnsi="Arial" w:cs="Arial"/>
                <w:b/>
                <w:color w:val="000000"/>
                <w:sz w:val="18"/>
                <w:szCs w:val="18"/>
                <w:lang w:eastAsia="es-ES_tradnl"/>
              </w:rPr>
            </w:pPr>
            <w:hyperlink r:id="rId45" w:tgtFrame="_Blank" w:history="1">
              <w:r w:rsidR="0074287C" w:rsidRPr="007F03BF">
                <w:rPr>
                  <w:rFonts w:ascii="Arial" w:hAnsi="Arial" w:cs="Arial"/>
                  <w:b/>
                  <w:color w:val="000000"/>
                  <w:sz w:val="18"/>
                  <w:szCs w:val="18"/>
                  <w:lang w:eastAsia="es-ES_tradnl"/>
                </w:rPr>
                <w:t>0146/SO/07-02/2019</w:t>
              </w:r>
            </w:hyperlink>
          </w:p>
        </w:tc>
        <w:tc>
          <w:tcPr>
            <w:tcW w:w="1152" w:type="dxa"/>
            <w:tcBorders>
              <w:top w:val="nil"/>
              <w:left w:val="nil"/>
              <w:bottom w:val="single" w:sz="4" w:space="0" w:color="auto"/>
              <w:right w:val="single" w:sz="4" w:space="0" w:color="auto"/>
            </w:tcBorders>
            <w:shd w:val="clear" w:color="000000" w:fill="FFFFFF"/>
            <w:hideMark/>
          </w:tcPr>
          <w:p w14:paraId="2EDDD2E2" w14:textId="77777777" w:rsidR="0074287C" w:rsidRPr="007F03BF" w:rsidRDefault="0074287C" w:rsidP="00A43BF1">
            <w:pPr>
              <w:jc w:val="center"/>
              <w:rPr>
                <w:rFonts w:ascii="Arial" w:hAnsi="Arial" w:cs="Arial"/>
                <w:sz w:val="18"/>
                <w:szCs w:val="18"/>
              </w:rPr>
            </w:pPr>
            <w:r w:rsidRPr="007F03BF">
              <w:rPr>
                <w:rFonts w:ascii="Arial" w:hAnsi="Arial" w:cs="Arial"/>
                <w:sz w:val="18"/>
                <w:szCs w:val="18"/>
              </w:rPr>
              <w:t>07/02/2019</w:t>
            </w:r>
          </w:p>
          <w:p w14:paraId="0EEFF189" w14:textId="77777777" w:rsidR="0074287C" w:rsidRPr="007F03BF" w:rsidRDefault="0074287C" w:rsidP="00A43BF1">
            <w:pPr>
              <w:jc w:val="center"/>
              <w:rPr>
                <w:rFonts w:ascii="Arial" w:hAnsi="Arial" w:cs="Arial"/>
                <w:sz w:val="18"/>
                <w:szCs w:val="18"/>
              </w:rPr>
            </w:pPr>
          </w:p>
        </w:tc>
      </w:tr>
    </w:tbl>
    <w:p w14:paraId="01BF28A8" w14:textId="77777777" w:rsidR="0074287C" w:rsidRPr="007F03BF" w:rsidRDefault="0074287C" w:rsidP="0074287C">
      <w:pPr>
        <w:autoSpaceDE w:val="0"/>
        <w:autoSpaceDN w:val="0"/>
        <w:adjustRightInd w:val="0"/>
        <w:spacing w:line="360" w:lineRule="auto"/>
        <w:jc w:val="both"/>
        <w:rPr>
          <w:rFonts w:ascii="Arial" w:hAnsi="Arial" w:cs="Arial"/>
          <w:color w:val="000000" w:themeColor="text1"/>
        </w:rPr>
      </w:pPr>
    </w:p>
    <w:p w14:paraId="257FFDFD" w14:textId="20C9513F" w:rsidR="00322D43" w:rsidRPr="007F03BF" w:rsidRDefault="0074287C" w:rsidP="00322D43">
      <w:pPr>
        <w:autoSpaceDE w:val="0"/>
        <w:autoSpaceDN w:val="0"/>
        <w:adjustRightInd w:val="0"/>
        <w:spacing w:line="360" w:lineRule="auto"/>
        <w:jc w:val="both"/>
        <w:rPr>
          <w:rFonts w:ascii="Arial" w:hAnsi="Arial" w:cs="Arial"/>
          <w:color w:val="000000" w:themeColor="text1"/>
        </w:rPr>
      </w:pPr>
      <w:r w:rsidRPr="007F03BF">
        <w:rPr>
          <w:rFonts w:ascii="Arial" w:hAnsi="Arial" w:cs="Arial"/>
        </w:rPr>
        <w:t xml:space="preserve">De conformidad con el artículo 151 de la Ley de Transparencia (y tomando en consideración que los sujetos obligados anteriormente señalados eran de reciente incorporación), la Dirección, consideró oportuno realizar una evaluación muestral, en la que únicamente se verificara el cumplimiento de las obligaciones de transparencia por parte de estos sujetos obligados. Ello con el propósito de identificar las áreas de oportunidad que tuvieran en materia de publicación y actualización de sus obligaciones transparencia, así como para emitir los dictámenes con los requerimientos, recomendaciones y observaciones correspondientes al primer semestre del año dos mil diecinueve, los cuales les ayudarían a no replicar los mismos errores en la publicación actualización de la información del segundo semestre. </w:t>
      </w:r>
    </w:p>
    <w:p w14:paraId="35A11CB5" w14:textId="77777777" w:rsidR="00322D43" w:rsidRPr="007F03BF" w:rsidRDefault="00322D43" w:rsidP="00322D43">
      <w:pPr>
        <w:autoSpaceDE w:val="0"/>
        <w:autoSpaceDN w:val="0"/>
        <w:adjustRightInd w:val="0"/>
        <w:spacing w:line="360" w:lineRule="auto"/>
        <w:jc w:val="both"/>
        <w:rPr>
          <w:rFonts w:ascii="Arial" w:hAnsi="Arial" w:cs="Arial"/>
          <w:color w:val="000000" w:themeColor="text1"/>
        </w:rPr>
      </w:pPr>
    </w:p>
    <w:p w14:paraId="61487569" w14:textId="48CF3057" w:rsidR="00322D43" w:rsidRPr="007F03BF" w:rsidRDefault="00322D43" w:rsidP="00322D43">
      <w:pPr>
        <w:autoSpaceDE w:val="0"/>
        <w:autoSpaceDN w:val="0"/>
        <w:adjustRightInd w:val="0"/>
        <w:spacing w:line="360" w:lineRule="auto"/>
        <w:jc w:val="both"/>
        <w:rPr>
          <w:rFonts w:ascii="Arial" w:hAnsi="Arial" w:cs="Arial"/>
          <w:color w:val="000000" w:themeColor="text1"/>
        </w:rPr>
      </w:pPr>
      <w:r w:rsidRPr="007F03BF">
        <w:rPr>
          <w:rFonts w:ascii="Arial" w:hAnsi="Arial" w:cs="Arial"/>
        </w:rPr>
        <w:t>E</w:t>
      </w:r>
      <w:r w:rsidR="0074287C" w:rsidRPr="007F03BF">
        <w:rPr>
          <w:rFonts w:ascii="Arial" w:hAnsi="Arial" w:cs="Arial"/>
        </w:rPr>
        <w:t xml:space="preserve">l periodo de información sujeto a la verificación en la </w:t>
      </w:r>
      <w:r w:rsidR="0074287C" w:rsidRPr="007F03BF">
        <w:rPr>
          <w:rFonts w:ascii="Arial" w:hAnsi="Arial" w:cs="Arial"/>
          <w:color w:val="000000" w:themeColor="text1"/>
        </w:rPr>
        <w:t>Segunda Evaluación Vinculante dos mil diecinueve</w:t>
      </w:r>
      <w:r w:rsidR="0074287C" w:rsidRPr="007F03BF">
        <w:rPr>
          <w:rFonts w:ascii="Arial" w:hAnsi="Arial" w:cs="Arial"/>
        </w:rPr>
        <w:t>, respecto de los 35 sujetos obligado</w:t>
      </w:r>
      <w:r w:rsidR="00BE5F6F" w:rsidRPr="007F03BF">
        <w:rPr>
          <w:rFonts w:ascii="Arial" w:hAnsi="Arial" w:cs="Arial"/>
        </w:rPr>
        <w:t>s</w:t>
      </w:r>
      <w:r w:rsidR="0074287C" w:rsidRPr="007F03BF">
        <w:rPr>
          <w:rFonts w:ascii="Arial" w:hAnsi="Arial" w:cs="Arial"/>
        </w:rPr>
        <w:t xml:space="preserve"> de reciente incorporación al Padrón, correspondió al primer semestre </w:t>
      </w:r>
      <w:r w:rsidR="0074287C" w:rsidRPr="007F03BF">
        <w:rPr>
          <w:rFonts w:ascii="Arial" w:hAnsi="Arial" w:cs="Arial"/>
          <w:color w:val="000000" w:themeColor="text1"/>
        </w:rPr>
        <w:t>dos mil diecinueve</w:t>
      </w:r>
      <w:r w:rsidR="0074287C" w:rsidRPr="007F03BF">
        <w:rPr>
          <w:rFonts w:ascii="Arial" w:hAnsi="Arial" w:cs="Arial"/>
        </w:rPr>
        <w:t xml:space="preserve">. Por ello, la Dirección comenzó a verificar los portales en el mes de agosto del mismo </w:t>
      </w:r>
      <w:r w:rsidR="0074287C" w:rsidRPr="007F03BF">
        <w:rPr>
          <w:rFonts w:ascii="Arial" w:hAnsi="Arial" w:cs="Arial"/>
        </w:rPr>
        <w:lastRenderedPageBreak/>
        <w:t>año; ya que, de conformidad con el numeral quinto, fracción II de los Lineamientos de evaluación, los sujetos obligados cuentan con treinta días naturales, terminado el trimestre para realizar la publicación y actualización de la información respectiva (a saber, el mes de julio).</w:t>
      </w:r>
    </w:p>
    <w:p w14:paraId="63559566" w14:textId="77777777" w:rsidR="00322D43" w:rsidRPr="007F03BF" w:rsidRDefault="00322D43" w:rsidP="00322D43">
      <w:pPr>
        <w:autoSpaceDE w:val="0"/>
        <w:autoSpaceDN w:val="0"/>
        <w:adjustRightInd w:val="0"/>
        <w:spacing w:line="360" w:lineRule="auto"/>
        <w:jc w:val="both"/>
        <w:rPr>
          <w:rFonts w:ascii="Arial" w:hAnsi="Arial" w:cs="Arial"/>
          <w:color w:val="000000" w:themeColor="text1"/>
        </w:rPr>
      </w:pPr>
    </w:p>
    <w:p w14:paraId="7ABFC9ED" w14:textId="39991CA9" w:rsidR="00322D43" w:rsidRPr="007F03BF" w:rsidRDefault="0074287C" w:rsidP="00322D43">
      <w:pPr>
        <w:autoSpaceDE w:val="0"/>
        <w:autoSpaceDN w:val="0"/>
        <w:adjustRightInd w:val="0"/>
        <w:spacing w:line="360" w:lineRule="auto"/>
        <w:jc w:val="both"/>
        <w:rPr>
          <w:rFonts w:ascii="Arial" w:hAnsi="Arial" w:cs="Arial"/>
          <w:color w:val="000000" w:themeColor="text1"/>
        </w:rPr>
      </w:pPr>
      <w:r w:rsidRPr="007F03BF">
        <w:rPr>
          <w:rFonts w:ascii="Arial" w:hAnsi="Arial" w:cs="Arial"/>
        </w:rPr>
        <w:t>La Segunda Evaluación Vinculante dos mil diecinueve concluyó</w:t>
      </w:r>
      <w:r w:rsidR="00BE5F6F" w:rsidRPr="007F03BF">
        <w:rPr>
          <w:rFonts w:ascii="Arial" w:hAnsi="Arial" w:cs="Arial"/>
        </w:rPr>
        <w:t xml:space="preserve"> el</w:t>
      </w:r>
      <w:r w:rsidRPr="007F03BF">
        <w:rPr>
          <w:rFonts w:ascii="Arial" w:hAnsi="Arial" w:cs="Arial"/>
        </w:rPr>
        <w:t xml:space="preserve"> quince de octubre, y revisó el cumplimiento de las obligaciones de transparencia del primer semestre del dos mil diecinueve por parte de treinta y cinco sujetos obligados de la Ciudad de México recientemente incorporados al Padrón. Los dictámenes correspondientes, con las recomendaciones y observaciones derivadas de la verificación, se sometieron a consideración del Pleno y fueron aprobados por el órgano de dirección del Instituto el treinta de octubre de dos mil diecinueve, mediante el acuerdo 3399/SO/30-10/2019.</w:t>
      </w:r>
    </w:p>
    <w:p w14:paraId="1CDD1112" w14:textId="77777777" w:rsidR="00322D43" w:rsidRPr="007F03BF" w:rsidRDefault="00322D43" w:rsidP="00322D43">
      <w:pPr>
        <w:autoSpaceDE w:val="0"/>
        <w:autoSpaceDN w:val="0"/>
        <w:adjustRightInd w:val="0"/>
        <w:spacing w:line="360" w:lineRule="auto"/>
        <w:jc w:val="both"/>
        <w:rPr>
          <w:rFonts w:ascii="Arial" w:hAnsi="Arial" w:cs="Arial"/>
          <w:color w:val="000000" w:themeColor="text1"/>
        </w:rPr>
      </w:pPr>
    </w:p>
    <w:p w14:paraId="31AD6AA4" w14:textId="30B1DC73" w:rsidR="00322D43" w:rsidRPr="007F03BF" w:rsidRDefault="00322D43" w:rsidP="00322D43">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t>Sobre</w:t>
      </w:r>
      <w:r w:rsidR="0074287C" w:rsidRPr="007F03BF">
        <w:rPr>
          <w:rFonts w:ascii="Arial" w:hAnsi="Arial" w:cs="Arial"/>
        </w:rPr>
        <w:t xml:space="preserve"> la Segunda Evaluación Vinculante dos mil diecinueve, se concluyó que siete sujetos obligados alcanzaron un Índice General de Cumplimiento de Obligaciones de Transparencia (IGOT) de 100 (cien) puntos, con lo que se considera que atendieron el piso mínimo establecido por la Ley </w:t>
      </w:r>
      <w:r w:rsidR="00D47F3C" w:rsidRPr="007F03BF">
        <w:rPr>
          <w:rFonts w:ascii="Arial" w:hAnsi="Arial" w:cs="Arial"/>
        </w:rPr>
        <w:t>local</w:t>
      </w:r>
      <w:r w:rsidR="0074287C" w:rsidRPr="007F03BF">
        <w:rPr>
          <w:rFonts w:ascii="Arial" w:hAnsi="Arial" w:cs="Arial"/>
        </w:rPr>
        <w:t>. Los sujetos obligados son los siguientes:</w:t>
      </w:r>
    </w:p>
    <w:p w14:paraId="7D092B0A" w14:textId="77777777" w:rsidR="00322D43" w:rsidRPr="007F03BF" w:rsidRDefault="0074287C" w:rsidP="00322D43">
      <w:pPr>
        <w:pStyle w:val="Prrafodelista"/>
        <w:numPr>
          <w:ilvl w:val="0"/>
          <w:numId w:val="18"/>
        </w:numPr>
        <w:autoSpaceDE w:val="0"/>
        <w:autoSpaceDN w:val="0"/>
        <w:adjustRightInd w:val="0"/>
        <w:spacing w:line="360" w:lineRule="auto"/>
        <w:jc w:val="both"/>
        <w:rPr>
          <w:rFonts w:ascii="Arial" w:hAnsi="Arial" w:cs="Arial"/>
          <w:color w:val="000000" w:themeColor="text1"/>
          <w:sz w:val="24"/>
          <w:szCs w:val="24"/>
        </w:rPr>
      </w:pPr>
      <w:r w:rsidRPr="007F03BF">
        <w:rPr>
          <w:rFonts w:ascii="Arial" w:hAnsi="Arial" w:cs="Arial"/>
          <w:sz w:val="24"/>
          <w:szCs w:val="24"/>
        </w:rPr>
        <w:t>Secretaría de Administración y Finanzas,</w:t>
      </w:r>
    </w:p>
    <w:p w14:paraId="23BFD897" w14:textId="77777777" w:rsidR="00322D43" w:rsidRPr="007F03BF" w:rsidRDefault="0074287C" w:rsidP="00322D43">
      <w:pPr>
        <w:pStyle w:val="Prrafodelista"/>
        <w:numPr>
          <w:ilvl w:val="0"/>
          <w:numId w:val="18"/>
        </w:numPr>
        <w:autoSpaceDE w:val="0"/>
        <w:autoSpaceDN w:val="0"/>
        <w:adjustRightInd w:val="0"/>
        <w:spacing w:line="360" w:lineRule="auto"/>
        <w:jc w:val="both"/>
        <w:rPr>
          <w:rFonts w:ascii="Arial" w:hAnsi="Arial" w:cs="Arial"/>
          <w:color w:val="000000" w:themeColor="text1"/>
          <w:sz w:val="24"/>
          <w:szCs w:val="24"/>
        </w:rPr>
      </w:pPr>
      <w:r w:rsidRPr="007F03BF">
        <w:rPr>
          <w:rFonts w:ascii="Arial" w:hAnsi="Arial" w:cs="Arial"/>
          <w:sz w:val="24"/>
          <w:szCs w:val="24"/>
        </w:rPr>
        <w:t xml:space="preserve">Secretaría de Inclusión y Bienestar Social, </w:t>
      </w:r>
    </w:p>
    <w:p w14:paraId="2AB22EA5" w14:textId="77777777" w:rsidR="00322D43" w:rsidRPr="007F03BF" w:rsidRDefault="0074287C" w:rsidP="00322D43">
      <w:pPr>
        <w:pStyle w:val="Prrafodelista"/>
        <w:numPr>
          <w:ilvl w:val="0"/>
          <w:numId w:val="18"/>
        </w:numPr>
        <w:autoSpaceDE w:val="0"/>
        <w:autoSpaceDN w:val="0"/>
        <w:adjustRightInd w:val="0"/>
        <w:spacing w:line="360" w:lineRule="auto"/>
        <w:jc w:val="both"/>
        <w:rPr>
          <w:rFonts w:ascii="Arial" w:hAnsi="Arial" w:cs="Arial"/>
          <w:color w:val="000000" w:themeColor="text1"/>
          <w:sz w:val="24"/>
          <w:szCs w:val="24"/>
        </w:rPr>
      </w:pPr>
      <w:r w:rsidRPr="007F03BF">
        <w:rPr>
          <w:rFonts w:ascii="Arial" w:hAnsi="Arial" w:cs="Arial"/>
          <w:sz w:val="24"/>
          <w:szCs w:val="24"/>
        </w:rPr>
        <w:t>Secretaría de la Contraloría General,</w:t>
      </w:r>
    </w:p>
    <w:p w14:paraId="02324004" w14:textId="77777777" w:rsidR="00322D43" w:rsidRPr="007F03BF" w:rsidRDefault="0074287C" w:rsidP="00322D43">
      <w:pPr>
        <w:pStyle w:val="Prrafodelista"/>
        <w:numPr>
          <w:ilvl w:val="0"/>
          <w:numId w:val="18"/>
        </w:numPr>
        <w:autoSpaceDE w:val="0"/>
        <w:autoSpaceDN w:val="0"/>
        <w:adjustRightInd w:val="0"/>
        <w:spacing w:line="360" w:lineRule="auto"/>
        <w:jc w:val="both"/>
        <w:rPr>
          <w:rFonts w:ascii="Arial" w:hAnsi="Arial" w:cs="Arial"/>
          <w:color w:val="000000" w:themeColor="text1"/>
          <w:sz w:val="24"/>
          <w:szCs w:val="24"/>
        </w:rPr>
      </w:pPr>
      <w:r w:rsidRPr="007F03BF">
        <w:rPr>
          <w:rFonts w:ascii="Arial" w:hAnsi="Arial" w:cs="Arial"/>
          <w:sz w:val="24"/>
          <w:szCs w:val="24"/>
        </w:rPr>
        <w:t xml:space="preserve">Secretaría de Seguridad Ciudadana, </w:t>
      </w:r>
    </w:p>
    <w:p w14:paraId="466C3D3F" w14:textId="77777777" w:rsidR="00322D43" w:rsidRPr="007F03BF" w:rsidRDefault="0074287C" w:rsidP="00322D43">
      <w:pPr>
        <w:pStyle w:val="Prrafodelista"/>
        <w:numPr>
          <w:ilvl w:val="0"/>
          <w:numId w:val="18"/>
        </w:numPr>
        <w:autoSpaceDE w:val="0"/>
        <w:autoSpaceDN w:val="0"/>
        <w:adjustRightInd w:val="0"/>
        <w:spacing w:line="360" w:lineRule="auto"/>
        <w:jc w:val="both"/>
        <w:rPr>
          <w:rFonts w:ascii="Arial" w:hAnsi="Arial" w:cs="Arial"/>
          <w:color w:val="000000" w:themeColor="text1"/>
          <w:sz w:val="24"/>
          <w:szCs w:val="24"/>
        </w:rPr>
      </w:pPr>
      <w:r w:rsidRPr="007F03BF">
        <w:rPr>
          <w:rFonts w:ascii="Arial" w:hAnsi="Arial" w:cs="Arial"/>
          <w:sz w:val="24"/>
          <w:szCs w:val="24"/>
        </w:rPr>
        <w:t xml:space="preserve">Agencia Digital de Innovación Pública de la Ciudad de México, </w:t>
      </w:r>
    </w:p>
    <w:p w14:paraId="3123C099" w14:textId="77777777" w:rsidR="00322D43" w:rsidRPr="007F03BF" w:rsidRDefault="0074287C" w:rsidP="00322D43">
      <w:pPr>
        <w:pStyle w:val="Prrafodelista"/>
        <w:numPr>
          <w:ilvl w:val="0"/>
          <w:numId w:val="18"/>
        </w:numPr>
        <w:autoSpaceDE w:val="0"/>
        <w:autoSpaceDN w:val="0"/>
        <w:adjustRightInd w:val="0"/>
        <w:spacing w:line="360" w:lineRule="auto"/>
        <w:jc w:val="both"/>
        <w:rPr>
          <w:rFonts w:ascii="Arial" w:hAnsi="Arial" w:cs="Arial"/>
          <w:color w:val="000000" w:themeColor="text1"/>
          <w:sz w:val="24"/>
          <w:szCs w:val="24"/>
        </w:rPr>
      </w:pPr>
      <w:r w:rsidRPr="007F03BF">
        <w:rPr>
          <w:rFonts w:ascii="Arial" w:hAnsi="Arial" w:cs="Arial"/>
          <w:sz w:val="24"/>
          <w:szCs w:val="24"/>
        </w:rPr>
        <w:t>Alcaldía la Magdalena Contreras, y</w:t>
      </w:r>
    </w:p>
    <w:p w14:paraId="63F2B3C5" w14:textId="77777777" w:rsidR="00322D43" w:rsidRPr="007F03BF" w:rsidRDefault="0074287C" w:rsidP="00322D43">
      <w:pPr>
        <w:pStyle w:val="Prrafodelista"/>
        <w:numPr>
          <w:ilvl w:val="0"/>
          <w:numId w:val="18"/>
        </w:numPr>
        <w:autoSpaceDE w:val="0"/>
        <w:autoSpaceDN w:val="0"/>
        <w:adjustRightInd w:val="0"/>
        <w:spacing w:line="360" w:lineRule="auto"/>
        <w:jc w:val="both"/>
        <w:rPr>
          <w:rFonts w:ascii="Arial" w:hAnsi="Arial" w:cs="Arial"/>
          <w:color w:val="000000" w:themeColor="text1"/>
          <w:sz w:val="24"/>
          <w:szCs w:val="24"/>
        </w:rPr>
      </w:pPr>
      <w:r w:rsidRPr="007F03BF">
        <w:rPr>
          <w:rFonts w:ascii="Arial" w:hAnsi="Arial" w:cs="Arial"/>
          <w:sz w:val="24"/>
          <w:szCs w:val="24"/>
        </w:rPr>
        <w:t xml:space="preserve">Alcaldía Miguel Hidalgo. </w:t>
      </w:r>
    </w:p>
    <w:p w14:paraId="796FE884" w14:textId="77777777" w:rsidR="00322D43" w:rsidRPr="007F03BF" w:rsidRDefault="00322D43" w:rsidP="00322D43">
      <w:pPr>
        <w:autoSpaceDE w:val="0"/>
        <w:autoSpaceDN w:val="0"/>
        <w:adjustRightInd w:val="0"/>
        <w:spacing w:line="360" w:lineRule="auto"/>
        <w:jc w:val="both"/>
        <w:rPr>
          <w:rFonts w:ascii="Arial" w:hAnsi="Arial" w:cs="Arial"/>
          <w:color w:val="000000" w:themeColor="text1"/>
        </w:rPr>
      </w:pPr>
    </w:p>
    <w:p w14:paraId="1D94D766" w14:textId="3686145C" w:rsidR="00322D43" w:rsidRPr="007F03BF" w:rsidRDefault="00322D43" w:rsidP="00322D43">
      <w:pPr>
        <w:autoSpaceDE w:val="0"/>
        <w:autoSpaceDN w:val="0"/>
        <w:adjustRightInd w:val="0"/>
        <w:spacing w:line="360" w:lineRule="auto"/>
        <w:jc w:val="both"/>
        <w:rPr>
          <w:rFonts w:ascii="Arial" w:hAnsi="Arial" w:cs="Arial"/>
          <w:color w:val="000000" w:themeColor="text1"/>
        </w:rPr>
      </w:pPr>
      <w:r w:rsidRPr="007F03BF">
        <w:rPr>
          <w:rFonts w:ascii="Arial" w:hAnsi="Arial" w:cs="Arial"/>
        </w:rPr>
        <w:t>T</w:t>
      </w:r>
      <w:r w:rsidR="0074287C" w:rsidRPr="007F03BF">
        <w:rPr>
          <w:rFonts w:ascii="Arial" w:hAnsi="Arial" w:cs="Arial"/>
        </w:rPr>
        <w:t>ambién derivado de la Segunda Evaluación Vinculante dos mil diecinueve,</w:t>
      </w:r>
      <w:r w:rsidR="0074287C" w:rsidRPr="007F03BF">
        <w:rPr>
          <w:rFonts w:ascii="Arial" w:hAnsi="Arial" w:cs="Arial"/>
          <w:b/>
          <w:bCs/>
        </w:rPr>
        <w:t xml:space="preserve"> veintiocho</w:t>
      </w:r>
      <w:r w:rsidR="0074287C" w:rsidRPr="007F03BF">
        <w:rPr>
          <w:rFonts w:ascii="Arial" w:hAnsi="Arial" w:cs="Arial"/>
        </w:rPr>
        <w:t xml:space="preserve"> sujetos obligados obtuvieron un Índice General de Cumplimiento de </w:t>
      </w:r>
      <w:r w:rsidR="0074287C" w:rsidRPr="007F03BF">
        <w:rPr>
          <w:rFonts w:ascii="Arial" w:hAnsi="Arial" w:cs="Arial"/>
        </w:rPr>
        <w:lastRenderedPageBreak/>
        <w:t xml:space="preserve">Obligaciones de Transparencia (IGOT) menor a cien puntos en las obligaciones de transparencia, por lo que se emitieron recomendaciones y observaciones para dar cumplimiento cabal al piso mínimo de obligaciones que en materia de transparencia deben cumplir conforme la Ley </w:t>
      </w:r>
      <w:r w:rsidR="00D47F3C" w:rsidRPr="007F03BF">
        <w:rPr>
          <w:rFonts w:ascii="Arial" w:hAnsi="Arial" w:cs="Arial"/>
        </w:rPr>
        <w:t>local</w:t>
      </w:r>
      <w:r w:rsidR="0074287C" w:rsidRPr="007F03BF">
        <w:rPr>
          <w:rFonts w:ascii="Arial" w:hAnsi="Arial" w:cs="Arial"/>
        </w:rPr>
        <w:t xml:space="preserve">. El cumplimiento que se registró fue el siguiente: veinticinco sujetos tuvieron entre sesenta y noventa y nueve puntos, por lo que se ubicaron en el supuesto de cumplimiento parcial; y tres alcanzaron entre uno y cincuenta y nueve puntos, por lo que actualizaron el supuesto de incumplimiento parcial. </w:t>
      </w:r>
    </w:p>
    <w:p w14:paraId="5E9D436E" w14:textId="77777777" w:rsidR="00322D43" w:rsidRPr="007F03BF" w:rsidRDefault="00322D43" w:rsidP="00322D43">
      <w:pPr>
        <w:autoSpaceDE w:val="0"/>
        <w:autoSpaceDN w:val="0"/>
        <w:adjustRightInd w:val="0"/>
        <w:spacing w:line="360" w:lineRule="auto"/>
        <w:jc w:val="both"/>
        <w:rPr>
          <w:rFonts w:ascii="Arial" w:hAnsi="Arial" w:cs="Arial"/>
          <w:color w:val="000000" w:themeColor="text1"/>
        </w:rPr>
      </w:pPr>
    </w:p>
    <w:p w14:paraId="3B161E67" w14:textId="4F7E5F35" w:rsidR="00322D43" w:rsidRPr="007F03BF" w:rsidRDefault="00322D43" w:rsidP="00322D43">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t>En</w:t>
      </w:r>
      <w:r w:rsidR="0074287C" w:rsidRPr="007F03BF">
        <w:rPr>
          <w:rFonts w:ascii="Arial" w:hAnsi="Arial" w:cs="Arial"/>
        </w:rPr>
        <w:t xml:space="preserve"> atención al ordinal tercero del Acuerdo </w:t>
      </w:r>
      <w:r w:rsidR="0074287C" w:rsidRPr="007F03BF">
        <w:rPr>
          <w:rStyle w:val="normaltextrun"/>
          <w:rFonts w:ascii="Arial" w:eastAsiaTheme="majorEastAsia" w:hAnsi="Arial" w:cs="Arial"/>
          <w:color w:val="000000" w:themeColor="text1"/>
          <w:shd w:val="clear" w:color="auto" w:fill="FFFFFF"/>
        </w:rPr>
        <w:t>3399/SO/30-10/2019</w:t>
      </w:r>
      <w:r w:rsidR="0074287C" w:rsidRPr="007F03BF">
        <w:rPr>
          <w:rFonts w:ascii="Arial" w:hAnsi="Arial" w:cs="Arial"/>
        </w:rPr>
        <w:t>, la Dirección notificó el acuerdo a los treinta y cinco sujetos obligado</w:t>
      </w:r>
      <w:r w:rsidR="00BE5F6F" w:rsidRPr="007F03BF">
        <w:rPr>
          <w:rFonts w:ascii="Arial" w:hAnsi="Arial" w:cs="Arial"/>
        </w:rPr>
        <w:t>s</w:t>
      </w:r>
      <w:r w:rsidR="0074287C" w:rsidRPr="007F03BF">
        <w:rPr>
          <w:rFonts w:ascii="Arial" w:hAnsi="Arial" w:cs="Arial"/>
        </w:rPr>
        <w:t xml:space="preserve"> el viernes cuatro de noviembre de dos mil diecinueve; por lo que el plazo de quince días para atender las recomendaciones y observaciones, señalado en ordinal cuarto del acuerdo, comenzó a correr el cinco de noviembre y concluyó el veinticinco de noviembre de dos mil diecinueve. A partir de esa fecha, el Instituto, con apego a la norma vigente, podía comenzar a verificar que los sujetos obligados hubieran solventado los requerimientos, observaciones y recomendaciones que les fueron notificadas.</w:t>
      </w:r>
      <w:r w:rsidR="0074287C" w:rsidRPr="007F03BF">
        <w:rPr>
          <w:rFonts w:ascii="Arial" w:hAnsi="Arial" w:cs="Arial"/>
          <w:b/>
          <w:bCs/>
        </w:rPr>
        <w:t xml:space="preserve"> </w:t>
      </w:r>
    </w:p>
    <w:p w14:paraId="43129900" w14:textId="77777777" w:rsidR="00322D43" w:rsidRPr="007F03BF" w:rsidRDefault="00322D43" w:rsidP="00322D43">
      <w:pPr>
        <w:autoSpaceDE w:val="0"/>
        <w:autoSpaceDN w:val="0"/>
        <w:adjustRightInd w:val="0"/>
        <w:spacing w:line="360" w:lineRule="auto"/>
        <w:jc w:val="both"/>
        <w:rPr>
          <w:rFonts w:ascii="Arial" w:hAnsi="Arial" w:cs="Arial"/>
          <w:color w:val="000000" w:themeColor="text1"/>
        </w:rPr>
      </w:pPr>
    </w:p>
    <w:p w14:paraId="5512CCC9" w14:textId="77777777" w:rsidR="00322D43" w:rsidRPr="007F03BF" w:rsidRDefault="0074287C" w:rsidP="00322D43">
      <w:pPr>
        <w:autoSpaceDE w:val="0"/>
        <w:autoSpaceDN w:val="0"/>
        <w:adjustRightInd w:val="0"/>
        <w:spacing w:line="360" w:lineRule="auto"/>
        <w:jc w:val="both"/>
        <w:rPr>
          <w:rFonts w:ascii="Arial" w:hAnsi="Arial" w:cs="Arial"/>
          <w:color w:val="000000" w:themeColor="text1"/>
        </w:rPr>
      </w:pPr>
      <w:r w:rsidRPr="007F03BF">
        <w:rPr>
          <w:rStyle w:val="normaltextrun"/>
          <w:rFonts w:ascii="Arial" w:hAnsi="Arial" w:cs="Arial"/>
          <w:shd w:val="clear" w:color="auto" w:fill="FFFFFF"/>
        </w:rPr>
        <w:t>En relación con el ordinal quinto del Acuerdo antes referido, se estableció que: “</w:t>
      </w:r>
      <w:r w:rsidRPr="007F03BF">
        <w:rPr>
          <w:rFonts w:ascii="Arial" w:hAnsi="Arial" w:cs="Arial"/>
          <w:i/>
          <w:iCs/>
        </w:rPr>
        <w:t xml:space="preserve">Una vez concluido el plazo establecido en el numeral cuarto, el órgano garante, por medio de la Dirección de Estado Abierto, Estudios y Evaluación, comenzará el proceso de verificación respecto de las recomendaciones e informará al Pleno de este Instituto el grado de cumplimiento de </w:t>
      </w:r>
      <w:proofErr w:type="gramStart"/>
      <w:r w:rsidRPr="007F03BF">
        <w:rPr>
          <w:rFonts w:ascii="Arial" w:hAnsi="Arial" w:cs="Arial"/>
          <w:i/>
          <w:iCs/>
        </w:rPr>
        <w:t>las mismas</w:t>
      </w:r>
      <w:proofErr w:type="gramEnd"/>
      <w:r w:rsidRPr="007F03BF">
        <w:rPr>
          <w:rFonts w:ascii="Arial" w:hAnsi="Arial" w:cs="Arial"/>
          <w:i/>
          <w:iCs/>
        </w:rPr>
        <w:t>, con el objetivo de que se tomen las medidas que sean procedentes.</w:t>
      </w:r>
      <w:r w:rsidRPr="007F03BF">
        <w:rPr>
          <w:rFonts w:ascii="Arial" w:hAnsi="Arial" w:cs="Arial"/>
        </w:rPr>
        <w:t>” Lo anterior de conformidad con el artículo 154, fracción VI, de la Ley de Transparencia.</w:t>
      </w:r>
    </w:p>
    <w:p w14:paraId="3B7F2784" w14:textId="77777777" w:rsidR="00322D43" w:rsidRPr="007F03BF" w:rsidRDefault="00322D43" w:rsidP="00322D43">
      <w:pPr>
        <w:autoSpaceDE w:val="0"/>
        <w:autoSpaceDN w:val="0"/>
        <w:adjustRightInd w:val="0"/>
        <w:spacing w:line="360" w:lineRule="auto"/>
        <w:jc w:val="both"/>
        <w:rPr>
          <w:rFonts w:ascii="Arial" w:hAnsi="Arial" w:cs="Arial"/>
          <w:color w:val="000000" w:themeColor="text1"/>
        </w:rPr>
      </w:pPr>
    </w:p>
    <w:p w14:paraId="1EAAECC3" w14:textId="30644F6E" w:rsidR="00322D43" w:rsidRPr="007F03BF" w:rsidRDefault="00322D43" w:rsidP="001A6622">
      <w:pPr>
        <w:autoSpaceDE w:val="0"/>
        <w:autoSpaceDN w:val="0"/>
        <w:adjustRightInd w:val="0"/>
        <w:spacing w:line="360" w:lineRule="auto"/>
        <w:jc w:val="both"/>
        <w:rPr>
          <w:rFonts w:ascii="Arial" w:hAnsi="Arial" w:cs="Arial"/>
          <w:color w:val="000000" w:themeColor="text1"/>
        </w:rPr>
      </w:pPr>
      <w:r w:rsidRPr="007F03BF">
        <w:rPr>
          <w:rFonts w:ascii="Arial" w:hAnsi="Arial" w:cs="Arial"/>
        </w:rPr>
        <w:t>Por tal motivo, e</w:t>
      </w:r>
      <w:r w:rsidR="0074287C" w:rsidRPr="007F03BF">
        <w:rPr>
          <w:rFonts w:ascii="Arial" w:hAnsi="Arial" w:cs="Arial"/>
        </w:rPr>
        <w:t>n uso de las atribuciones conferidas por las fracciones XI y XII del artículo 22 del Reglamento Interior, la Dirección inició la verificación de los veint</w:t>
      </w:r>
      <w:r w:rsidR="00D47F3C" w:rsidRPr="007F03BF">
        <w:rPr>
          <w:rFonts w:ascii="Arial" w:hAnsi="Arial" w:cs="Arial"/>
        </w:rPr>
        <w:t>i</w:t>
      </w:r>
      <w:r w:rsidR="0074287C" w:rsidRPr="007F03BF">
        <w:rPr>
          <w:rFonts w:ascii="Arial" w:hAnsi="Arial" w:cs="Arial"/>
        </w:rPr>
        <w:t xml:space="preserve">ocho sujetos obligados que no cumplieron el piso mínimo marcado por la Ley, </w:t>
      </w:r>
      <w:r w:rsidR="0074287C" w:rsidRPr="007F03BF">
        <w:rPr>
          <w:rFonts w:ascii="Arial" w:hAnsi="Arial" w:cs="Arial"/>
        </w:rPr>
        <w:lastRenderedPageBreak/>
        <w:t>la primera semana de diciembre de dos mil diecinueve y concluyó la primera semana de febrero de dos mil veinte.</w:t>
      </w:r>
    </w:p>
    <w:p w14:paraId="0B2F9893" w14:textId="77777777" w:rsidR="00322D43" w:rsidRPr="007F03BF" w:rsidRDefault="00322D43" w:rsidP="001A6622">
      <w:pPr>
        <w:autoSpaceDE w:val="0"/>
        <w:autoSpaceDN w:val="0"/>
        <w:adjustRightInd w:val="0"/>
        <w:spacing w:line="360" w:lineRule="auto"/>
        <w:jc w:val="both"/>
        <w:rPr>
          <w:rFonts w:ascii="Arial" w:hAnsi="Arial" w:cs="Arial"/>
          <w:color w:val="000000" w:themeColor="text1"/>
        </w:rPr>
      </w:pPr>
    </w:p>
    <w:p w14:paraId="0036529A" w14:textId="3BFCFBA5" w:rsidR="001A6622" w:rsidRPr="007F03BF" w:rsidRDefault="00322D43" w:rsidP="001A6622">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t>E</w:t>
      </w:r>
      <w:r w:rsidR="001A6622" w:rsidRPr="007F03BF">
        <w:rPr>
          <w:rFonts w:ascii="Arial" w:hAnsi="Arial" w:cs="Arial"/>
          <w:color w:val="000000" w:themeColor="text1"/>
        </w:rPr>
        <w:t xml:space="preserve">n la </w:t>
      </w:r>
      <w:r w:rsidR="0045080A" w:rsidRPr="007F03BF">
        <w:rPr>
          <w:rFonts w:ascii="Arial" w:hAnsi="Arial" w:cs="Arial"/>
          <w:color w:val="000000" w:themeColor="text1"/>
        </w:rPr>
        <w:t>Primera</w:t>
      </w:r>
      <w:r w:rsidR="001A6622" w:rsidRPr="007F03BF">
        <w:rPr>
          <w:rFonts w:ascii="Arial" w:hAnsi="Arial" w:cs="Arial"/>
          <w:color w:val="000000" w:themeColor="text1"/>
        </w:rPr>
        <w:t xml:space="preserve"> Evaluación Vinculante 20</w:t>
      </w:r>
      <w:r w:rsidR="0045080A" w:rsidRPr="007F03BF">
        <w:rPr>
          <w:rFonts w:ascii="Arial" w:hAnsi="Arial" w:cs="Arial"/>
          <w:color w:val="000000" w:themeColor="text1"/>
        </w:rPr>
        <w:t>20</w:t>
      </w:r>
      <w:r w:rsidR="001A6622" w:rsidRPr="007F03BF">
        <w:rPr>
          <w:rFonts w:ascii="Arial" w:hAnsi="Arial" w:cs="Arial"/>
          <w:color w:val="000000" w:themeColor="text1"/>
        </w:rPr>
        <w:t xml:space="preserve"> se verificó el cumplimiento de las recomendaciones y observaciones emitidas en la </w:t>
      </w:r>
      <w:r w:rsidR="0045080A" w:rsidRPr="007F03BF">
        <w:rPr>
          <w:rFonts w:ascii="Arial" w:hAnsi="Arial" w:cs="Arial"/>
          <w:color w:val="000000" w:themeColor="text1"/>
        </w:rPr>
        <w:t>Segunda</w:t>
      </w:r>
      <w:r w:rsidR="001A6622" w:rsidRPr="007F03BF">
        <w:rPr>
          <w:rFonts w:ascii="Arial" w:hAnsi="Arial" w:cs="Arial"/>
          <w:color w:val="000000" w:themeColor="text1"/>
        </w:rPr>
        <w:t xml:space="preserve"> Evaluación Vinculante 2019, con el fin de que la información publicada en la Plataforma Nacional de Transparencia y en los portales de Internet de los sujetos obligados estuviera completa y actualizada al </w:t>
      </w:r>
      <w:r w:rsidR="0045080A" w:rsidRPr="007F03BF">
        <w:rPr>
          <w:rFonts w:ascii="Arial" w:hAnsi="Arial" w:cs="Arial"/>
          <w:color w:val="000000" w:themeColor="text1"/>
        </w:rPr>
        <w:t>treinta de junio de dos mil diecinueve</w:t>
      </w:r>
      <w:r w:rsidR="001A6622" w:rsidRPr="007F03BF">
        <w:rPr>
          <w:rFonts w:ascii="Arial" w:hAnsi="Arial" w:cs="Arial"/>
          <w:color w:val="000000" w:themeColor="text1"/>
        </w:rPr>
        <w:t>, así como que se conservara en ambas plataformas la información correspondiente a los ejercicios anteriores, de conformidad con la tabla de actualización y conservación de la información incluida en los Lineamientos de Evaluación.</w:t>
      </w:r>
    </w:p>
    <w:p w14:paraId="3F0B85F5" w14:textId="77777777" w:rsidR="001A6622" w:rsidRPr="007F03BF" w:rsidRDefault="001A6622" w:rsidP="001A6622">
      <w:pPr>
        <w:autoSpaceDE w:val="0"/>
        <w:autoSpaceDN w:val="0"/>
        <w:adjustRightInd w:val="0"/>
        <w:spacing w:line="360" w:lineRule="auto"/>
        <w:jc w:val="both"/>
        <w:rPr>
          <w:rFonts w:ascii="Arial" w:hAnsi="Arial" w:cs="Arial"/>
          <w:color w:val="000000" w:themeColor="text1"/>
        </w:rPr>
      </w:pPr>
    </w:p>
    <w:p w14:paraId="381EE1B2" w14:textId="77777777" w:rsidR="001A6622" w:rsidRPr="007F03BF" w:rsidRDefault="001A6622" w:rsidP="001A6622">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t xml:space="preserve">Como producto de esta </w:t>
      </w:r>
      <w:r w:rsidR="0045080A" w:rsidRPr="007F03BF">
        <w:rPr>
          <w:rFonts w:ascii="Arial" w:hAnsi="Arial" w:cs="Arial"/>
          <w:color w:val="000000" w:themeColor="text1"/>
        </w:rPr>
        <w:t>Primera</w:t>
      </w:r>
      <w:r w:rsidRPr="007F03BF">
        <w:rPr>
          <w:rFonts w:ascii="Arial" w:hAnsi="Arial" w:cs="Arial"/>
          <w:color w:val="000000" w:themeColor="text1"/>
        </w:rPr>
        <w:t xml:space="preserve"> Evaluación Vinculante 20</w:t>
      </w:r>
      <w:r w:rsidR="0045080A" w:rsidRPr="007F03BF">
        <w:rPr>
          <w:rFonts w:ascii="Arial" w:hAnsi="Arial" w:cs="Arial"/>
          <w:color w:val="000000" w:themeColor="text1"/>
        </w:rPr>
        <w:t>20</w:t>
      </w:r>
      <w:r w:rsidRPr="007F03BF">
        <w:rPr>
          <w:rFonts w:ascii="Arial" w:hAnsi="Arial" w:cs="Arial"/>
          <w:color w:val="000000" w:themeColor="text1"/>
        </w:rPr>
        <w:t xml:space="preserve"> y en atención a lo dispuesto por el artículo 154, fracción II, de la Ley de Transparencia, la Dirección proyectó, para su consideración por el Pleno del Instituto, un dictamen que contiene los resultados de la evaluación de las recomendaciones y observaciones del cumplimiento de las obligaciones de transparencia comunes, específicas y las disposiciones particulares previstas por la mencionada Ley, por sujeto obligado. </w:t>
      </w:r>
    </w:p>
    <w:p w14:paraId="13C53BCA" w14:textId="77777777" w:rsidR="001A6622" w:rsidRPr="007F03BF" w:rsidRDefault="001A6622" w:rsidP="001A6622">
      <w:pPr>
        <w:autoSpaceDE w:val="0"/>
        <w:autoSpaceDN w:val="0"/>
        <w:adjustRightInd w:val="0"/>
        <w:spacing w:line="360" w:lineRule="auto"/>
        <w:jc w:val="both"/>
        <w:rPr>
          <w:rFonts w:ascii="Arial" w:hAnsi="Arial" w:cs="Arial"/>
          <w:color w:val="000000" w:themeColor="text1"/>
        </w:rPr>
      </w:pPr>
    </w:p>
    <w:p w14:paraId="10936ADC" w14:textId="1D3CA6D4" w:rsidR="001A6622" w:rsidRPr="007F03BF" w:rsidRDefault="001A6622" w:rsidP="001A6622">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t xml:space="preserve">El dictamen, en función de los resultados obtenidos en la evaluación correspondiente por cada sujeto obligado, indica, para los mismos, un conjunto de nuevas recomendaciones vinculantes y observaciones relativas al nivel de cumplimiento en la publicación y actualización de las obligaciones mínimas de transparencia previstas en la Ley </w:t>
      </w:r>
      <w:r w:rsidR="00D47F3C" w:rsidRPr="007F03BF">
        <w:rPr>
          <w:rFonts w:ascii="Arial" w:hAnsi="Arial" w:cs="Arial"/>
          <w:color w:val="000000" w:themeColor="text1"/>
        </w:rPr>
        <w:t>local</w:t>
      </w:r>
      <w:r w:rsidRPr="007F03BF">
        <w:rPr>
          <w:rFonts w:ascii="Arial" w:hAnsi="Arial" w:cs="Arial"/>
          <w:color w:val="000000" w:themeColor="text1"/>
        </w:rPr>
        <w:t xml:space="preserve"> de la materia; las recomendaciones vinculantes atañen a fallos en la publicación o actualización de la información correspondiente, los cuales deben ser corregidos; las observaciones, en cambio, se refieren a áreas de oportunidad detectadas y no son obligatorias para los sujetos obligados. </w:t>
      </w:r>
    </w:p>
    <w:p w14:paraId="6781A96F" w14:textId="177D0F8C" w:rsidR="007D6699" w:rsidRPr="007F03BF" w:rsidRDefault="007D6699" w:rsidP="001A6622">
      <w:pPr>
        <w:autoSpaceDE w:val="0"/>
        <w:autoSpaceDN w:val="0"/>
        <w:adjustRightInd w:val="0"/>
        <w:spacing w:line="360" w:lineRule="auto"/>
        <w:jc w:val="both"/>
        <w:rPr>
          <w:rFonts w:ascii="Arial" w:hAnsi="Arial" w:cs="Arial"/>
          <w:color w:val="000000" w:themeColor="text1"/>
        </w:rPr>
      </w:pPr>
    </w:p>
    <w:p w14:paraId="33CA3B90" w14:textId="4DE541E1" w:rsidR="007D6699" w:rsidRPr="007F03BF" w:rsidRDefault="007D6699" w:rsidP="001A6622">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lastRenderedPageBreak/>
        <w:t>A continuación, se presenta el proceso de la Primera Evaluación Vinculante 2020 a través de un diagrama.</w:t>
      </w:r>
    </w:p>
    <w:p w14:paraId="6F1D25A9" w14:textId="4C3AA4D4" w:rsidR="007D6699" w:rsidRPr="007F03BF" w:rsidRDefault="007D6699" w:rsidP="001A6622">
      <w:pPr>
        <w:autoSpaceDE w:val="0"/>
        <w:autoSpaceDN w:val="0"/>
        <w:adjustRightInd w:val="0"/>
        <w:spacing w:line="360" w:lineRule="auto"/>
        <w:jc w:val="both"/>
        <w:rPr>
          <w:rFonts w:ascii="Arial" w:hAnsi="Arial" w:cs="Arial"/>
          <w:color w:val="000000" w:themeColor="text1"/>
        </w:rPr>
      </w:pPr>
    </w:p>
    <w:p w14:paraId="00D22A2B" w14:textId="3BB99689" w:rsidR="007D6699" w:rsidRPr="007F03BF" w:rsidRDefault="007D6699" w:rsidP="001A6622">
      <w:pPr>
        <w:autoSpaceDE w:val="0"/>
        <w:autoSpaceDN w:val="0"/>
        <w:adjustRightInd w:val="0"/>
        <w:spacing w:line="360" w:lineRule="auto"/>
        <w:jc w:val="both"/>
        <w:rPr>
          <w:rFonts w:ascii="Arial" w:hAnsi="Arial" w:cs="Arial"/>
          <w:color w:val="000000" w:themeColor="text1"/>
        </w:rPr>
      </w:pPr>
      <w:r w:rsidRPr="007F03BF">
        <w:rPr>
          <w:rFonts w:ascii="Arial" w:hAnsi="Arial" w:cs="Arial"/>
          <w:noProof/>
          <w:color w:val="000000" w:themeColor="text1"/>
        </w:rPr>
        <w:drawing>
          <wp:inline distT="0" distB="0" distL="0" distR="0" wp14:anchorId="59D0DA36" wp14:editId="28480EA0">
            <wp:extent cx="6511159" cy="4074795"/>
            <wp:effectExtent l="0" t="0" r="444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531195" cy="4087334"/>
                    </a:xfrm>
                    <a:prstGeom prst="rect">
                      <a:avLst/>
                    </a:prstGeom>
                  </pic:spPr>
                </pic:pic>
              </a:graphicData>
            </a:graphic>
          </wp:inline>
        </w:drawing>
      </w:r>
    </w:p>
    <w:p w14:paraId="3163103C" w14:textId="77777777" w:rsidR="001A6622" w:rsidRPr="007F03BF" w:rsidRDefault="001A6622">
      <w:pPr>
        <w:rPr>
          <w:rFonts w:ascii="Arial" w:eastAsiaTheme="majorEastAsia" w:hAnsi="Arial" w:cs="Arial"/>
          <w:b/>
          <w:color w:val="000000" w:themeColor="text1"/>
          <w:lang w:eastAsia="en-US"/>
        </w:rPr>
      </w:pPr>
      <w:r w:rsidRPr="007F03BF">
        <w:rPr>
          <w:rFonts w:ascii="Arial" w:hAnsi="Arial" w:cs="Arial"/>
          <w:b/>
          <w:color w:val="000000" w:themeColor="text1"/>
        </w:rPr>
        <w:br w:type="page"/>
      </w:r>
    </w:p>
    <w:p w14:paraId="4072AB03" w14:textId="77777777" w:rsidR="001A6622" w:rsidRPr="007F03BF" w:rsidRDefault="001A6622" w:rsidP="001A6622">
      <w:pPr>
        <w:pStyle w:val="Ttulo1"/>
        <w:contextualSpacing/>
        <w:rPr>
          <w:rFonts w:ascii="Arial" w:hAnsi="Arial" w:cs="Arial"/>
          <w:b/>
          <w:color w:val="000000" w:themeColor="text1"/>
          <w:sz w:val="24"/>
          <w:szCs w:val="24"/>
        </w:rPr>
      </w:pPr>
      <w:bookmarkStart w:id="3" w:name="_Toc39683989"/>
      <w:r w:rsidRPr="007F03BF">
        <w:rPr>
          <w:rFonts w:ascii="Arial" w:hAnsi="Arial" w:cs="Arial"/>
          <w:b/>
          <w:color w:val="000000" w:themeColor="text1"/>
          <w:sz w:val="24"/>
          <w:szCs w:val="24"/>
        </w:rPr>
        <w:lastRenderedPageBreak/>
        <w:t>METODOLOGÍA</w:t>
      </w:r>
      <w:bookmarkEnd w:id="3"/>
      <w:r w:rsidRPr="007F03BF">
        <w:rPr>
          <w:rFonts w:ascii="Arial" w:hAnsi="Arial" w:cs="Arial"/>
          <w:b/>
          <w:color w:val="000000" w:themeColor="text1"/>
          <w:sz w:val="24"/>
          <w:szCs w:val="24"/>
        </w:rPr>
        <w:t xml:space="preserve"> </w:t>
      </w:r>
    </w:p>
    <w:p w14:paraId="0A175B13" w14:textId="77777777" w:rsidR="001A6622" w:rsidRPr="007F03BF" w:rsidRDefault="001A6622" w:rsidP="001A6622">
      <w:pPr>
        <w:autoSpaceDE w:val="0"/>
        <w:autoSpaceDN w:val="0"/>
        <w:adjustRightInd w:val="0"/>
        <w:spacing w:line="360" w:lineRule="auto"/>
        <w:jc w:val="both"/>
        <w:rPr>
          <w:rFonts w:ascii="Arial" w:hAnsi="Arial" w:cs="Arial"/>
          <w:color w:val="000000" w:themeColor="text1"/>
        </w:rPr>
      </w:pPr>
    </w:p>
    <w:p w14:paraId="3D0D983B" w14:textId="6F05996F" w:rsidR="001A6622" w:rsidRPr="007F03BF" w:rsidRDefault="001A6622" w:rsidP="001A6622">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t xml:space="preserve">A partir de los resultados de la evaluación, se generó el Índice General de Cumplimiento de Obligaciones de Transparencia (IGOT) de los sujetos obligados, el cual contiene el resultado numérico de la evaluación correspondiente. Dicho índice se construye con la sumatoria del Índice de Cumplimiento de Obligaciones de Transparencia del Portal de Internet (ICOT-PI) y el de la Plataforma Nacional de Transparencia (ICOT-PNT). En específico, tanto el ICOT-PI como el ICOT-PNT se integran con los resultados de la evaluación del cumplimiento de las obligaciones comunes </w:t>
      </w:r>
      <w:r w:rsidR="006721BF" w:rsidRPr="007F03BF">
        <w:rPr>
          <w:rFonts w:ascii="Arial" w:hAnsi="Arial" w:cs="Arial"/>
          <w:color w:val="000000" w:themeColor="text1"/>
        </w:rPr>
        <w:t xml:space="preserve">y en materia de programas sociales, de ayudas, subsidios, estímulos y apoyos, referidos </w:t>
      </w:r>
      <w:r w:rsidRPr="007F03BF">
        <w:rPr>
          <w:rFonts w:ascii="Arial" w:hAnsi="Arial" w:cs="Arial"/>
          <w:color w:val="000000" w:themeColor="text1"/>
        </w:rPr>
        <w:t>en los artículos 121 y 122</w:t>
      </w:r>
      <w:r w:rsidR="006721BF" w:rsidRPr="007F03BF">
        <w:rPr>
          <w:rFonts w:ascii="Arial" w:hAnsi="Arial" w:cs="Arial"/>
          <w:color w:val="000000" w:themeColor="text1"/>
        </w:rPr>
        <w:t xml:space="preserve"> respectivamente</w:t>
      </w:r>
      <w:r w:rsidRPr="007F03BF">
        <w:rPr>
          <w:rFonts w:ascii="Arial" w:hAnsi="Arial" w:cs="Arial"/>
          <w:color w:val="000000" w:themeColor="text1"/>
        </w:rPr>
        <w:t xml:space="preserve">; las obligaciones específicas consistentes en los artículos 123 al 140, y las disposiciones particulares contempladas en los artículos </w:t>
      </w:r>
      <w:r w:rsidR="009F5BA8" w:rsidRPr="007F03BF">
        <w:rPr>
          <w:rFonts w:ascii="Arial" w:hAnsi="Arial" w:cs="Arial"/>
          <w:color w:val="000000" w:themeColor="text1"/>
        </w:rPr>
        <w:t xml:space="preserve">141 </w:t>
      </w:r>
      <w:r w:rsidRPr="007F03BF">
        <w:rPr>
          <w:rFonts w:ascii="Arial" w:hAnsi="Arial" w:cs="Arial"/>
          <w:color w:val="000000" w:themeColor="text1"/>
        </w:rPr>
        <w:t xml:space="preserve">al 147, todos de la Ley de Transparencia. </w:t>
      </w:r>
    </w:p>
    <w:p w14:paraId="4D95EF57" w14:textId="77777777" w:rsidR="001A6622" w:rsidRPr="007F03BF" w:rsidRDefault="001A6622" w:rsidP="001A6622">
      <w:pPr>
        <w:autoSpaceDE w:val="0"/>
        <w:autoSpaceDN w:val="0"/>
        <w:adjustRightInd w:val="0"/>
        <w:spacing w:line="360" w:lineRule="auto"/>
        <w:jc w:val="both"/>
        <w:rPr>
          <w:rFonts w:ascii="Arial" w:hAnsi="Arial" w:cs="Arial"/>
          <w:color w:val="000000" w:themeColor="text1"/>
        </w:rPr>
      </w:pPr>
    </w:p>
    <w:p w14:paraId="0C0BC9A1" w14:textId="60F80B76" w:rsidR="001A6622" w:rsidRPr="007F03BF" w:rsidRDefault="001A6622" w:rsidP="001A6622">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t xml:space="preserve">De conformidad con los </w:t>
      </w:r>
      <w:r w:rsidR="00C6090F" w:rsidRPr="007F03BF">
        <w:rPr>
          <w:rFonts w:ascii="Arial" w:hAnsi="Arial" w:cs="Arial"/>
        </w:rPr>
        <w:t>Lineamientos y Metodología de Evaluación de las obligaciones de transparencia que deben publicar en sus Portales de Internet y en la PNT los sujetos obligados de la Ciudad de México</w:t>
      </w:r>
      <w:r w:rsidR="00C6090F" w:rsidRPr="007F03BF">
        <w:rPr>
          <w:rFonts w:ascii="Arial" w:hAnsi="Arial" w:cs="Arial"/>
          <w:color w:val="000000" w:themeColor="text1"/>
        </w:rPr>
        <w:t xml:space="preserve"> (</w:t>
      </w:r>
      <w:r w:rsidRPr="007F03BF">
        <w:rPr>
          <w:rFonts w:ascii="Arial" w:hAnsi="Arial" w:cs="Arial"/>
          <w:color w:val="000000" w:themeColor="text1"/>
        </w:rPr>
        <w:t>Lineamientos de Evaluación</w:t>
      </w:r>
      <w:r w:rsidR="00C6090F" w:rsidRPr="007F03BF">
        <w:rPr>
          <w:rFonts w:ascii="Arial" w:hAnsi="Arial" w:cs="Arial"/>
          <w:color w:val="000000" w:themeColor="text1"/>
        </w:rPr>
        <w:t>)</w:t>
      </w:r>
      <w:r w:rsidRPr="007F03BF">
        <w:rPr>
          <w:rFonts w:ascii="Arial" w:hAnsi="Arial" w:cs="Arial"/>
          <w:color w:val="000000" w:themeColor="text1"/>
        </w:rPr>
        <w:t xml:space="preserve">, el valor de cada uno de estos índices corresponde al cincuenta por ciento del IGOT. Los artículos correspondientes a las obligaciones de transparencia comunes tienen un valor de sesenta por ciento del total del ICOT-PI y ICOT-PNT respectivamente; los artículos que hacen referencia a las obligaciones específicas de cada sujeto obligado tiene un valor de veinte por ciento del total de cada uno de estos índices, y las disposiciones particulares establecidas en los artículos 143, 145, 146 y 147 de la Ley de Transparencia tienen una ponderación del cinco por ciento en cada una de estas herramientas metodológicas. </w:t>
      </w:r>
    </w:p>
    <w:p w14:paraId="3B42E3FB" w14:textId="77777777" w:rsidR="001A6622" w:rsidRPr="007F03BF" w:rsidRDefault="001A6622" w:rsidP="001A6622">
      <w:pPr>
        <w:autoSpaceDE w:val="0"/>
        <w:autoSpaceDN w:val="0"/>
        <w:adjustRightInd w:val="0"/>
        <w:spacing w:line="360" w:lineRule="auto"/>
        <w:jc w:val="both"/>
        <w:rPr>
          <w:rFonts w:ascii="Arial" w:hAnsi="Arial" w:cs="Arial"/>
          <w:color w:val="000000" w:themeColor="text1"/>
        </w:rPr>
      </w:pPr>
    </w:p>
    <w:p w14:paraId="1030DA65" w14:textId="5C057DB3" w:rsidR="001A6622" w:rsidRPr="007F03BF" w:rsidRDefault="001A6622" w:rsidP="001A6622">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t xml:space="preserve">En atención a lo anterior, la evaluación realizada consistió en verificar el cumplimiento de la publicación de la información a través del cálculo inicial de 81 (ochenta y uno) índices simples: 21 (veintiuno) de criterios sustantivos de contenido, 20 (veinte) de criterios adjetivos de actualización, 20 (veinte) de criterios </w:t>
      </w:r>
      <w:r w:rsidR="009F5BA8" w:rsidRPr="007F03BF">
        <w:rPr>
          <w:rFonts w:ascii="Arial" w:hAnsi="Arial" w:cs="Arial"/>
          <w:color w:val="000000" w:themeColor="text1"/>
        </w:rPr>
        <w:t xml:space="preserve">adjetivos </w:t>
      </w:r>
      <w:r w:rsidRPr="007F03BF">
        <w:rPr>
          <w:rFonts w:ascii="Arial" w:hAnsi="Arial" w:cs="Arial"/>
          <w:color w:val="000000" w:themeColor="text1"/>
        </w:rPr>
        <w:lastRenderedPageBreak/>
        <w:t>de confiabilidad y 20 (veinte) de criterios adjetivos de formato, tanto en el portal de internet como en la Plataforma Nacional de Transparencia. Los criterios sustantivos de contenido son aquellos relacionados con la existencia de la información; los criterios adjetivos de actualización establecen que la información publicada cumpla con los periodos de actualización y conservación; los criterios adjetivos de confiabilidad son aquellos que permiten identificar la fecha en que se actualizó por última vez la información, la fecha de validación y el área que generó la misma; y por último, los criterios adjetivos de formato determinan las característica mínimas con las que debe ser organizada, sistematizada y publicada la información, permitiendo así su reutilización.</w:t>
      </w:r>
    </w:p>
    <w:p w14:paraId="3D370FBC" w14:textId="77777777" w:rsidR="001A6622" w:rsidRPr="007F03BF" w:rsidRDefault="001A6622" w:rsidP="001A6622">
      <w:pPr>
        <w:autoSpaceDE w:val="0"/>
        <w:autoSpaceDN w:val="0"/>
        <w:adjustRightInd w:val="0"/>
        <w:spacing w:line="360" w:lineRule="auto"/>
        <w:jc w:val="both"/>
        <w:rPr>
          <w:rFonts w:ascii="Arial" w:hAnsi="Arial" w:cs="Arial"/>
          <w:color w:val="000000" w:themeColor="text1"/>
        </w:rPr>
      </w:pPr>
    </w:p>
    <w:p w14:paraId="04637E3C" w14:textId="2BA50608" w:rsidR="001A6622" w:rsidRPr="007F03BF" w:rsidRDefault="001A6622" w:rsidP="001A6622">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t xml:space="preserve">No obstante, debido a que esta evaluación consiste en verificar el cumplimiento de las recomendaciones y observaciones emitidas a cada uno de los </w:t>
      </w:r>
      <w:r w:rsidR="009B52B0" w:rsidRPr="007F03BF">
        <w:rPr>
          <w:rFonts w:ascii="Arial" w:hAnsi="Arial" w:cs="Arial"/>
          <w:color w:val="000000" w:themeColor="text1"/>
        </w:rPr>
        <w:t>28</w:t>
      </w:r>
      <w:r w:rsidRPr="007F03BF">
        <w:rPr>
          <w:rFonts w:ascii="Arial" w:hAnsi="Arial" w:cs="Arial"/>
          <w:color w:val="000000" w:themeColor="text1"/>
        </w:rPr>
        <w:t xml:space="preserve"> sujetos obligados que no alcanzaron el cumplimiento total de las obligaciones mínimas establecidas en la Ley</w:t>
      </w:r>
      <w:r w:rsidR="00C6090F" w:rsidRPr="007F03BF">
        <w:rPr>
          <w:rFonts w:ascii="Arial" w:hAnsi="Arial" w:cs="Arial"/>
          <w:color w:val="000000" w:themeColor="text1"/>
        </w:rPr>
        <w:t xml:space="preserve"> </w:t>
      </w:r>
      <w:r w:rsidR="00D47F3C" w:rsidRPr="007F03BF">
        <w:rPr>
          <w:rFonts w:ascii="Arial" w:hAnsi="Arial" w:cs="Arial"/>
          <w:color w:val="000000" w:themeColor="text1"/>
        </w:rPr>
        <w:t>local</w:t>
      </w:r>
      <w:r w:rsidR="00C6090F" w:rsidRPr="007F03BF">
        <w:rPr>
          <w:rFonts w:ascii="Arial" w:hAnsi="Arial" w:cs="Arial"/>
          <w:color w:val="000000" w:themeColor="text1"/>
        </w:rPr>
        <w:t xml:space="preserve"> de </w:t>
      </w:r>
      <w:r w:rsidRPr="007F03BF">
        <w:rPr>
          <w:rFonts w:ascii="Arial" w:hAnsi="Arial" w:cs="Arial"/>
          <w:color w:val="000000" w:themeColor="text1"/>
        </w:rPr>
        <w:t xml:space="preserve">Transparencia; el procedimiento de evaluación únicamente se concentró en verificar la correcta publicación y actualización de la información en lo que respecta a las obligaciones de transparencia que presentaba un índice de cumplimiento promedio inferior al 100%. </w:t>
      </w:r>
    </w:p>
    <w:p w14:paraId="77EE7C97" w14:textId="77777777" w:rsidR="001A6622" w:rsidRPr="007F03BF" w:rsidRDefault="001A6622" w:rsidP="001A6622">
      <w:pPr>
        <w:autoSpaceDE w:val="0"/>
        <w:autoSpaceDN w:val="0"/>
        <w:adjustRightInd w:val="0"/>
        <w:spacing w:line="360" w:lineRule="auto"/>
        <w:jc w:val="both"/>
        <w:rPr>
          <w:rFonts w:ascii="Arial" w:hAnsi="Arial" w:cs="Arial"/>
          <w:color w:val="000000" w:themeColor="text1"/>
        </w:rPr>
      </w:pPr>
    </w:p>
    <w:p w14:paraId="132EA0EC" w14:textId="5C17B396" w:rsidR="001A6622" w:rsidRPr="007F03BF" w:rsidRDefault="001A6622" w:rsidP="001A6622">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t xml:space="preserve">Por su diseño, el IGOT puede asumir valores en el rango de 0 (cero) a 100 (cien) puntos, inclusive, escala en la que el valor mínimo representa un incumplimiento total de las obligaciones correspondientes; valores superiores a 0 (cero) puntos y de hasta 59.99 (cincuenta y nueve punto noventa y nueve) puntos, inclusive, representan un grado parcial de incumplimiento de las obligaciones; valores iguales o superiores a 60 (sesenta) puntos y menores a 100 (cien) puntos representan un cumplimiento parcial de las obligaciones mínimas; en tanto que el puntaje más alto </w:t>
      </w:r>
      <w:r w:rsidR="009F5BA8" w:rsidRPr="007F03BF">
        <w:rPr>
          <w:rFonts w:ascii="Arial" w:hAnsi="Arial" w:cs="Arial"/>
          <w:color w:val="000000" w:themeColor="text1"/>
        </w:rPr>
        <w:t xml:space="preserve">100 (cien), </w:t>
      </w:r>
      <w:r w:rsidRPr="007F03BF">
        <w:rPr>
          <w:rFonts w:ascii="Arial" w:hAnsi="Arial" w:cs="Arial"/>
          <w:color w:val="000000" w:themeColor="text1"/>
        </w:rPr>
        <w:t xml:space="preserve">representa el cabal cumplimiento de las obligaciones mínimas previstas por la Ley de Transparencia. </w:t>
      </w:r>
    </w:p>
    <w:p w14:paraId="7EE03F25" w14:textId="77777777" w:rsidR="001A6622" w:rsidRPr="007F03BF" w:rsidRDefault="001A6622" w:rsidP="001A6622">
      <w:pPr>
        <w:autoSpaceDE w:val="0"/>
        <w:autoSpaceDN w:val="0"/>
        <w:adjustRightInd w:val="0"/>
        <w:spacing w:line="360" w:lineRule="auto"/>
        <w:jc w:val="both"/>
        <w:rPr>
          <w:rFonts w:ascii="Arial" w:hAnsi="Arial" w:cs="Arial"/>
          <w:color w:val="000000" w:themeColor="text1"/>
        </w:rPr>
      </w:pPr>
    </w:p>
    <w:p w14:paraId="7BE35E3B" w14:textId="77777777" w:rsidR="001A6622" w:rsidRPr="007F03BF" w:rsidRDefault="001A6622" w:rsidP="001A6622">
      <w:pPr>
        <w:autoSpaceDE w:val="0"/>
        <w:autoSpaceDN w:val="0"/>
        <w:adjustRightInd w:val="0"/>
        <w:spacing w:line="360" w:lineRule="auto"/>
        <w:jc w:val="both"/>
        <w:rPr>
          <w:rFonts w:ascii="Arial" w:hAnsi="Arial" w:cs="Arial"/>
          <w:color w:val="000000" w:themeColor="text1"/>
        </w:rPr>
      </w:pPr>
      <w:r w:rsidRPr="007F03BF">
        <w:rPr>
          <w:rFonts w:ascii="Arial" w:hAnsi="Arial" w:cs="Arial"/>
          <w:color w:val="000000" w:themeColor="text1"/>
        </w:rPr>
        <w:lastRenderedPageBreak/>
        <w:t xml:space="preserve">Aunando a lo anterior, y en atención a que esta evaluación es únicamente sobre las recomendaciones y observaciones emitidas en la </w:t>
      </w:r>
      <w:r w:rsidR="009B52B0" w:rsidRPr="007F03BF">
        <w:rPr>
          <w:rFonts w:ascii="Arial" w:hAnsi="Arial" w:cs="Arial"/>
          <w:color w:val="000000" w:themeColor="text1"/>
        </w:rPr>
        <w:t>Segunda</w:t>
      </w:r>
      <w:r w:rsidRPr="007F03BF">
        <w:rPr>
          <w:rFonts w:ascii="Arial" w:hAnsi="Arial" w:cs="Arial"/>
          <w:color w:val="000000" w:themeColor="text1"/>
        </w:rPr>
        <w:t xml:space="preserve"> Evaluación Vinculante 2019</w:t>
      </w:r>
      <w:r w:rsidR="009B52B0" w:rsidRPr="007F03BF">
        <w:rPr>
          <w:rFonts w:ascii="Arial" w:hAnsi="Arial" w:cs="Arial"/>
          <w:color w:val="000000" w:themeColor="text1"/>
        </w:rPr>
        <w:t xml:space="preserve">; </w:t>
      </w:r>
      <w:r w:rsidRPr="007F03BF">
        <w:rPr>
          <w:rFonts w:ascii="Arial" w:hAnsi="Arial" w:cs="Arial"/>
          <w:color w:val="000000" w:themeColor="text1"/>
        </w:rPr>
        <w:t>los sujetos obligados pueden alcanzar un cumplimento total con un IGOT de 100%, pueden subir s</w:t>
      </w:r>
      <w:r w:rsidR="009B52B0" w:rsidRPr="007F03BF">
        <w:rPr>
          <w:rFonts w:ascii="Arial" w:hAnsi="Arial" w:cs="Arial"/>
          <w:color w:val="000000" w:themeColor="text1"/>
        </w:rPr>
        <w:t>u</w:t>
      </w:r>
      <w:r w:rsidRPr="007F03BF">
        <w:rPr>
          <w:rFonts w:ascii="Arial" w:hAnsi="Arial" w:cs="Arial"/>
          <w:color w:val="000000" w:themeColor="text1"/>
        </w:rPr>
        <w:t xml:space="preserve"> IGOT, mas no alcanzar el cumplimento total por persistir las áreas de oportunidad; pueden permanecer con el mismo IGOT que obtuvieron en la Evaluación primigenia, debido a la ausencia de atención a las recomendaciones; o pueden disminuir su IGOT, en el caso de que presenten un mayor número de recomendaciones y observaciones en sus obligaciones evaluadas. </w:t>
      </w:r>
    </w:p>
    <w:p w14:paraId="5CA2FDEF" w14:textId="77777777" w:rsidR="0045080A" w:rsidRPr="007F03BF" w:rsidRDefault="0045080A" w:rsidP="001A6622">
      <w:pPr>
        <w:autoSpaceDE w:val="0"/>
        <w:autoSpaceDN w:val="0"/>
        <w:adjustRightInd w:val="0"/>
        <w:spacing w:line="360" w:lineRule="auto"/>
        <w:jc w:val="both"/>
        <w:rPr>
          <w:rFonts w:ascii="Arial" w:hAnsi="Arial" w:cs="Arial"/>
          <w:color w:val="000000" w:themeColor="text1"/>
        </w:rPr>
      </w:pPr>
    </w:p>
    <w:p w14:paraId="41276331" w14:textId="0483C551" w:rsidR="00B018FB" w:rsidRPr="007F03BF" w:rsidRDefault="00B018FB" w:rsidP="00B018FB">
      <w:pPr>
        <w:autoSpaceDE w:val="0"/>
        <w:autoSpaceDN w:val="0"/>
        <w:adjustRightInd w:val="0"/>
        <w:spacing w:line="360" w:lineRule="auto"/>
        <w:contextualSpacing/>
        <w:jc w:val="both"/>
        <w:rPr>
          <w:rFonts w:ascii="Arial" w:hAnsi="Arial" w:cs="Arial"/>
        </w:rPr>
      </w:pPr>
      <w:r w:rsidRPr="007F03BF">
        <w:rPr>
          <w:rFonts w:ascii="Arial" w:hAnsi="Arial" w:cs="Arial"/>
        </w:rPr>
        <w:t xml:space="preserve">Los </w:t>
      </w:r>
      <w:r w:rsidR="009B52B0" w:rsidRPr="007F03BF">
        <w:rPr>
          <w:rFonts w:ascii="Arial" w:hAnsi="Arial" w:cs="Arial"/>
        </w:rPr>
        <w:t>28</w:t>
      </w:r>
      <w:r w:rsidRPr="007F03BF">
        <w:rPr>
          <w:rFonts w:ascii="Arial" w:hAnsi="Arial" w:cs="Arial"/>
        </w:rPr>
        <w:t xml:space="preserve"> sujetos obligados que tuvieron que atender las recomendaciones y observaciones cumplieron, en promedio, con un </w:t>
      </w:r>
      <w:r w:rsidR="009B52B0" w:rsidRPr="007F03BF">
        <w:rPr>
          <w:rFonts w:ascii="Arial" w:hAnsi="Arial" w:cs="Arial"/>
        </w:rPr>
        <w:t>90.06</w:t>
      </w:r>
      <w:r w:rsidRPr="007F03BF">
        <w:rPr>
          <w:rFonts w:ascii="Arial" w:hAnsi="Arial" w:cs="Arial"/>
        </w:rPr>
        <w:t xml:space="preserve">% de sus obligaciones de transparencia que tienen que publicar por ley en sus portales institucionales y la Plataforma Nacional de Transparencia. </w:t>
      </w:r>
    </w:p>
    <w:p w14:paraId="1F152FAF" w14:textId="77777777" w:rsidR="00B018FB" w:rsidRPr="007F03BF" w:rsidRDefault="00B018FB">
      <w:pPr>
        <w:rPr>
          <w:rFonts w:ascii="Arial" w:eastAsiaTheme="majorEastAsia" w:hAnsi="Arial" w:cs="Arial"/>
          <w:b/>
          <w:color w:val="000000" w:themeColor="text1"/>
          <w:lang w:eastAsia="en-US"/>
        </w:rPr>
      </w:pPr>
      <w:r w:rsidRPr="007F03BF">
        <w:rPr>
          <w:rFonts w:ascii="Arial" w:hAnsi="Arial" w:cs="Arial"/>
          <w:b/>
          <w:color w:val="000000" w:themeColor="text1"/>
        </w:rPr>
        <w:br w:type="page"/>
      </w:r>
    </w:p>
    <w:p w14:paraId="0AD32119" w14:textId="55E273C9" w:rsidR="00B018FB" w:rsidRPr="007F03BF" w:rsidRDefault="00B018FB" w:rsidP="00B018FB">
      <w:pPr>
        <w:pStyle w:val="Ttulo1"/>
        <w:contextualSpacing/>
        <w:rPr>
          <w:rFonts w:ascii="Arial" w:hAnsi="Arial" w:cs="Arial"/>
          <w:b/>
          <w:color w:val="000000" w:themeColor="text1"/>
          <w:sz w:val="24"/>
          <w:szCs w:val="24"/>
        </w:rPr>
      </w:pPr>
      <w:bookmarkStart w:id="4" w:name="_Toc39683990"/>
      <w:r w:rsidRPr="007F03BF">
        <w:rPr>
          <w:rFonts w:ascii="Arial" w:hAnsi="Arial" w:cs="Arial"/>
          <w:b/>
          <w:color w:val="000000" w:themeColor="text1"/>
          <w:sz w:val="24"/>
          <w:szCs w:val="24"/>
        </w:rPr>
        <w:lastRenderedPageBreak/>
        <w:t xml:space="preserve">RESULTADO GLOBALES DE LA </w:t>
      </w:r>
      <w:r w:rsidR="00CA2905" w:rsidRPr="007F03BF">
        <w:rPr>
          <w:rFonts w:ascii="Arial" w:hAnsi="Arial" w:cs="Arial"/>
          <w:b/>
          <w:color w:val="000000" w:themeColor="text1"/>
          <w:sz w:val="24"/>
          <w:szCs w:val="24"/>
        </w:rPr>
        <w:t>PRIMERA</w:t>
      </w:r>
      <w:r w:rsidRPr="007F03BF">
        <w:rPr>
          <w:rFonts w:ascii="Arial" w:hAnsi="Arial" w:cs="Arial"/>
          <w:b/>
          <w:color w:val="000000" w:themeColor="text1"/>
          <w:sz w:val="24"/>
          <w:szCs w:val="24"/>
        </w:rPr>
        <w:t xml:space="preserve"> EVALUACIÓN VINCULANTE 20</w:t>
      </w:r>
      <w:r w:rsidR="0074287C" w:rsidRPr="007F03BF">
        <w:rPr>
          <w:rFonts w:ascii="Arial" w:hAnsi="Arial" w:cs="Arial"/>
          <w:b/>
          <w:color w:val="000000" w:themeColor="text1"/>
          <w:sz w:val="24"/>
          <w:szCs w:val="24"/>
        </w:rPr>
        <w:t>20</w:t>
      </w:r>
      <w:bookmarkEnd w:id="4"/>
    </w:p>
    <w:p w14:paraId="60A96B5C" w14:textId="77777777" w:rsidR="00B018FB" w:rsidRPr="007F03BF" w:rsidRDefault="00B018FB" w:rsidP="00B018FB">
      <w:pPr>
        <w:autoSpaceDE w:val="0"/>
        <w:autoSpaceDN w:val="0"/>
        <w:adjustRightInd w:val="0"/>
        <w:spacing w:line="360" w:lineRule="auto"/>
        <w:contextualSpacing/>
        <w:jc w:val="both"/>
        <w:rPr>
          <w:rFonts w:ascii="Arial" w:hAnsi="Arial" w:cs="Arial"/>
        </w:rPr>
      </w:pPr>
    </w:p>
    <w:p w14:paraId="5E8899DD" w14:textId="77777777"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t xml:space="preserve">A partir de los resultados de esta evaluación, los sujetos obligados de la Ciudad de México incrementaron, en su conjunto, el cumplimiento promedio de sus obligaciones de transparencia, puesto que pasaron de tener un índice de </w:t>
      </w:r>
      <w:r w:rsidRPr="007F03BF">
        <w:rPr>
          <w:rFonts w:ascii="Arial" w:hAnsi="Arial" w:cs="Arial"/>
        </w:rPr>
        <w:t>85.38% a uno de 90.06%; es decir, el puntaje promedio aumentó 4.69 puntos.</w:t>
      </w:r>
    </w:p>
    <w:p w14:paraId="39838D46" w14:textId="77777777"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p>
    <w:p w14:paraId="06CF960B" w14:textId="2CFA68C1"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t xml:space="preserve">Los 28 sujetos obligados evaluados se distribuyen de la siguiente manera: </w:t>
      </w:r>
      <w:r w:rsidRPr="007F03BF">
        <w:rPr>
          <w:rFonts w:ascii="Arial" w:hAnsi="Arial" w:cs="Arial"/>
        </w:rPr>
        <w:t>4 sujetos pertenecientes a la Administración Central, 7 al ámbito de Órganos Desconcentrados, Fondos y Fideicomisos, 14 a las Demarcaciones Territoriales, 1 sujeto obligado del Poder Legislativo, 1 Órgano Autónomo, 1 Sindicato.</w:t>
      </w:r>
    </w:p>
    <w:p w14:paraId="64BBCEC7" w14:textId="77777777"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p>
    <w:p w14:paraId="13F89DA2" w14:textId="1B9DD7EF"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t xml:space="preserve">En esta evaluación se observó que 6 de los 28 sujetos obligados evaluados cumplieron el 100% de las obligaciones señaladas por las disposiciones comunes, específicas y particulares de la Ley de Transparencia </w:t>
      </w:r>
      <w:r w:rsidR="00D47F3C" w:rsidRPr="007F03BF">
        <w:rPr>
          <w:rFonts w:ascii="Arial" w:hAnsi="Arial" w:cs="Arial"/>
          <w:color w:val="000000" w:themeColor="text1"/>
        </w:rPr>
        <w:t>local</w:t>
      </w:r>
      <w:r w:rsidRPr="007F03BF">
        <w:rPr>
          <w:rFonts w:ascii="Arial" w:hAnsi="Arial" w:cs="Arial"/>
          <w:color w:val="000000" w:themeColor="text1"/>
        </w:rPr>
        <w:t>. Estos se distribuyen de la siguiente forma: 2 de ellos pertenecen al ámbito de la Administración Pública Centralizada, 1 al ámbito de Organismos Desconcentrados, Descentralizados, Paraestatales y Auxiliares, y 3 a Demarcaciones Territoriales.</w:t>
      </w:r>
    </w:p>
    <w:p w14:paraId="43C41490" w14:textId="77777777"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p>
    <w:p w14:paraId="5455A171" w14:textId="77777777"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t xml:space="preserve">De los 22 sujetos obligados que no cumplieron el piso mínimo, 20 sujetos cumplieron parcialmente sus deberes de publicación o actualización (IGOT mayor a 60%) y se distribuyen de la siguiente forma: 2 forman parte de la Administración Pública Centralizada, 4 del ámbito de Organismos Desconcentrados, Descentralizados, Paraestatales y Auxiliares, 11 de Demarcaciones Territoriales, 1 sujeto obligado perteneciente al Poder Legislativo, 1 es un Órgano Autónomo, y 1 un Sindicato. </w:t>
      </w:r>
    </w:p>
    <w:p w14:paraId="741F50AD" w14:textId="77777777"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p>
    <w:p w14:paraId="7066FAE0" w14:textId="714A6150"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t>Por último, 2 sujetos obligados incumplieron parcialmente (IGOT de 59.99% o inferior) sus deberes de publicación o actualización; ambos pertenecen al ámbito de Organismos Desconcentrados, Descentralizados, Paraestatales y Auxiliares.</w:t>
      </w:r>
    </w:p>
    <w:p w14:paraId="39B3514C" w14:textId="77777777"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p>
    <w:p w14:paraId="2F429612" w14:textId="77777777"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t xml:space="preserve">Los resultados señalados se sintetizan en el siguiente cuadro: </w:t>
      </w:r>
    </w:p>
    <w:p w14:paraId="2883F2A1" w14:textId="77777777"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p>
    <w:tbl>
      <w:tblPr>
        <w:tblW w:w="9209" w:type="dxa"/>
        <w:tblCellMar>
          <w:left w:w="70" w:type="dxa"/>
          <w:right w:w="70" w:type="dxa"/>
        </w:tblCellMar>
        <w:tblLook w:val="04A0" w:firstRow="1" w:lastRow="0" w:firstColumn="1" w:lastColumn="0" w:noHBand="0" w:noVBand="1"/>
      </w:tblPr>
      <w:tblGrid>
        <w:gridCol w:w="1730"/>
        <w:gridCol w:w="1286"/>
        <w:gridCol w:w="1474"/>
        <w:gridCol w:w="1474"/>
        <w:gridCol w:w="1627"/>
        <w:gridCol w:w="1618"/>
      </w:tblGrid>
      <w:tr w:rsidR="00217E5F" w:rsidRPr="007F03BF" w14:paraId="375830B2" w14:textId="77777777" w:rsidTr="00FB7E72">
        <w:trPr>
          <w:trHeight w:val="300"/>
          <w:tblHeader/>
        </w:trPr>
        <w:tc>
          <w:tcPr>
            <w:tcW w:w="9209" w:type="dxa"/>
            <w:gridSpan w:val="6"/>
            <w:tcBorders>
              <w:top w:val="single" w:sz="4" w:space="0" w:color="auto"/>
              <w:left w:val="single" w:sz="4" w:space="0" w:color="auto"/>
              <w:bottom w:val="single" w:sz="4" w:space="0" w:color="auto"/>
              <w:right w:val="single" w:sz="4" w:space="0" w:color="auto"/>
            </w:tcBorders>
            <w:shd w:val="clear" w:color="auto" w:fill="70AD47" w:themeFill="accent6"/>
            <w:hideMark/>
          </w:tcPr>
          <w:p w14:paraId="68FFC5E7" w14:textId="77777777" w:rsidR="00217E5F" w:rsidRPr="007F03BF" w:rsidRDefault="00217E5F" w:rsidP="00FB7E72">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Rubros de cumplimiento de los sujetos obligados de la Ciudad de México</w:t>
            </w:r>
          </w:p>
        </w:tc>
      </w:tr>
      <w:tr w:rsidR="00217E5F" w:rsidRPr="007F03BF" w14:paraId="2B9734C4" w14:textId="77777777" w:rsidTr="00FB7E72">
        <w:trPr>
          <w:trHeight w:val="1120"/>
          <w:tblHeader/>
        </w:trPr>
        <w:tc>
          <w:tcPr>
            <w:tcW w:w="1730" w:type="dxa"/>
            <w:tcBorders>
              <w:top w:val="nil"/>
              <w:left w:val="single" w:sz="4" w:space="0" w:color="auto"/>
              <w:bottom w:val="single" w:sz="4" w:space="0" w:color="auto"/>
              <w:right w:val="single" w:sz="4" w:space="0" w:color="auto"/>
            </w:tcBorders>
            <w:shd w:val="clear" w:color="auto" w:fill="70AD47" w:themeFill="accent6"/>
            <w:hideMark/>
          </w:tcPr>
          <w:p w14:paraId="4D50E738" w14:textId="77777777" w:rsidR="00217E5F" w:rsidRPr="007F03BF" w:rsidRDefault="00217E5F" w:rsidP="00FB7E72">
            <w:pPr>
              <w:rPr>
                <w:rFonts w:ascii="Arial" w:hAnsi="Arial" w:cs="Arial"/>
                <w:b/>
                <w:bCs/>
                <w:color w:val="000000" w:themeColor="text1"/>
                <w:sz w:val="20"/>
                <w:szCs w:val="20"/>
              </w:rPr>
            </w:pPr>
            <w:r w:rsidRPr="007F03BF">
              <w:rPr>
                <w:rFonts w:ascii="Arial" w:hAnsi="Arial" w:cs="Arial"/>
                <w:b/>
                <w:bCs/>
                <w:color w:val="000000" w:themeColor="text1"/>
                <w:sz w:val="20"/>
                <w:szCs w:val="20"/>
              </w:rPr>
              <w:t>Ámbito de Gobierno</w:t>
            </w:r>
          </w:p>
        </w:tc>
        <w:tc>
          <w:tcPr>
            <w:tcW w:w="1286" w:type="dxa"/>
            <w:tcBorders>
              <w:top w:val="nil"/>
              <w:left w:val="nil"/>
              <w:bottom w:val="single" w:sz="4" w:space="0" w:color="auto"/>
              <w:right w:val="single" w:sz="4" w:space="0" w:color="auto"/>
            </w:tcBorders>
            <w:shd w:val="clear" w:color="auto" w:fill="70AD47" w:themeFill="accent6"/>
            <w:hideMark/>
          </w:tcPr>
          <w:p w14:paraId="33C31EEB" w14:textId="77777777" w:rsidR="00217E5F" w:rsidRPr="007F03BF" w:rsidRDefault="00217E5F" w:rsidP="00FB7E72">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Número total de sujetos obligados</w:t>
            </w:r>
          </w:p>
        </w:tc>
        <w:tc>
          <w:tcPr>
            <w:tcW w:w="1474" w:type="dxa"/>
            <w:tcBorders>
              <w:top w:val="nil"/>
              <w:left w:val="nil"/>
              <w:bottom w:val="single" w:sz="4" w:space="0" w:color="auto"/>
              <w:right w:val="single" w:sz="4" w:space="0" w:color="auto"/>
            </w:tcBorders>
            <w:shd w:val="clear" w:color="auto" w:fill="70AD47" w:themeFill="accent6"/>
            <w:hideMark/>
          </w:tcPr>
          <w:p w14:paraId="5F85F376" w14:textId="77777777" w:rsidR="00217E5F" w:rsidRPr="007F03BF" w:rsidRDefault="00217E5F" w:rsidP="00FB7E72">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Cumplimiento total</w:t>
            </w:r>
          </w:p>
          <w:p w14:paraId="30D9EAC2" w14:textId="77777777" w:rsidR="00217E5F" w:rsidRPr="007F03BF" w:rsidRDefault="00217E5F" w:rsidP="00FB7E72">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(100 puntos)</w:t>
            </w:r>
          </w:p>
        </w:tc>
        <w:tc>
          <w:tcPr>
            <w:tcW w:w="1474" w:type="dxa"/>
            <w:tcBorders>
              <w:top w:val="nil"/>
              <w:left w:val="nil"/>
              <w:bottom w:val="single" w:sz="4" w:space="0" w:color="auto"/>
              <w:right w:val="single" w:sz="4" w:space="0" w:color="auto"/>
            </w:tcBorders>
            <w:shd w:val="clear" w:color="auto" w:fill="70AD47" w:themeFill="accent6"/>
            <w:hideMark/>
          </w:tcPr>
          <w:p w14:paraId="330FD5BD" w14:textId="77777777" w:rsidR="00217E5F" w:rsidRPr="007F03BF" w:rsidRDefault="00217E5F" w:rsidP="00FB7E72">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 xml:space="preserve">Cumplimiento parcial </w:t>
            </w:r>
          </w:p>
          <w:p w14:paraId="01879585" w14:textId="77777777" w:rsidR="00217E5F" w:rsidRPr="007F03BF" w:rsidRDefault="00217E5F" w:rsidP="00FB7E72">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(60 a 99.99 puntos)</w:t>
            </w:r>
          </w:p>
        </w:tc>
        <w:tc>
          <w:tcPr>
            <w:tcW w:w="1627" w:type="dxa"/>
            <w:tcBorders>
              <w:top w:val="nil"/>
              <w:left w:val="nil"/>
              <w:bottom w:val="single" w:sz="4" w:space="0" w:color="auto"/>
              <w:right w:val="single" w:sz="4" w:space="0" w:color="auto"/>
            </w:tcBorders>
            <w:shd w:val="clear" w:color="auto" w:fill="70AD47" w:themeFill="accent6"/>
            <w:hideMark/>
          </w:tcPr>
          <w:p w14:paraId="497FCB55" w14:textId="77777777" w:rsidR="00217E5F" w:rsidRPr="007F03BF" w:rsidRDefault="00217E5F" w:rsidP="00FB7E72">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Incumplimiento parcial</w:t>
            </w:r>
          </w:p>
          <w:p w14:paraId="46A868AD" w14:textId="77777777" w:rsidR="00217E5F" w:rsidRPr="007F03BF" w:rsidRDefault="00217E5F" w:rsidP="00FB7E72">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(1 a 59.99 puntos)</w:t>
            </w:r>
          </w:p>
        </w:tc>
        <w:tc>
          <w:tcPr>
            <w:tcW w:w="1618" w:type="dxa"/>
            <w:tcBorders>
              <w:top w:val="nil"/>
              <w:left w:val="nil"/>
              <w:bottom w:val="single" w:sz="4" w:space="0" w:color="auto"/>
              <w:right w:val="single" w:sz="4" w:space="0" w:color="auto"/>
            </w:tcBorders>
            <w:shd w:val="clear" w:color="auto" w:fill="70AD47" w:themeFill="accent6"/>
            <w:hideMark/>
          </w:tcPr>
          <w:p w14:paraId="45C49043" w14:textId="77777777" w:rsidR="00217E5F" w:rsidRPr="007F03BF" w:rsidRDefault="00217E5F" w:rsidP="00FB7E72">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Incumplimiento total</w:t>
            </w:r>
          </w:p>
          <w:p w14:paraId="20DF24E5" w14:textId="77777777" w:rsidR="00217E5F" w:rsidRPr="007F03BF" w:rsidRDefault="00217E5F" w:rsidP="00FB7E72">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(0 puntos)</w:t>
            </w:r>
          </w:p>
        </w:tc>
      </w:tr>
      <w:tr w:rsidR="00217E5F" w:rsidRPr="007F03BF" w14:paraId="3A684699" w14:textId="77777777" w:rsidTr="00FB7E72">
        <w:trPr>
          <w:trHeight w:val="580"/>
        </w:trPr>
        <w:tc>
          <w:tcPr>
            <w:tcW w:w="1730" w:type="dxa"/>
            <w:tcBorders>
              <w:top w:val="nil"/>
              <w:left w:val="single" w:sz="4" w:space="0" w:color="auto"/>
              <w:bottom w:val="single" w:sz="4" w:space="0" w:color="auto"/>
              <w:right w:val="single" w:sz="4" w:space="0" w:color="auto"/>
            </w:tcBorders>
            <w:shd w:val="clear" w:color="auto" w:fill="auto"/>
            <w:vAlign w:val="bottom"/>
            <w:hideMark/>
          </w:tcPr>
          <w:p w14:paraId="62D0194B" w14:textId="77777777" w:rsidR="00217E5F" w:rsidRPr="007F03BF" w:rsidRDefault="00217E5F" w:rsidP="00FB7E72">
            <w:pPr>
              <w:rPr>
                <w:rFonts w:ascii="Arial" w:hAnsi="Arial" w:cs="Arial"/>
                <w:color w:val="000000" w:themeColor="text1"/>
                <w:sz w:val="20"/>
                <w:szCs w:val="20"/>
              </w:rPr>
            </w:pPr>
            <w:r w:rsidRPr="007F03BF">
              <w:rPr>
                <w:rFonts w:ascii="Arial" w:hAnsi="Arial" w:cs="Arial"/>
                <w:color w:val="000000" w:themeColor="text1"/>
                <w:sz w:val="20"/>
                <w:szCs w:val="20"/>
              </w:rPr>
              <w:t>Poder Ejecutivo - Administración Pública Centralizada</w:t>
            </w:r>
          </w:p>
        </w:tc>
        <w:tc>
          <w:tcPr>
            <w:tcW w:w="1286" w:type="dxa"/>
            <w:tcBorders>
              <w:top w:val="nil"/>
              <w:left w:val="nil"/>
              <w:bottom w:val="single" w:sz="4" w:space="0" w:color="auto"/>
              <w:right w:val="single" w:sz="4" w:space="0" w:color="auto"/>
            </w:tcBorders>
            <w:shd w:val="clear" w:color="000000" w:fill="FFFFFF"/>
            <w:vAlign w:val="center"/>
            <w:hideMark/>
          </w:tcPr>
          <w:p w14:paraId="64674722"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4</w:t>
            </w:r>
          </w:p>
        </w:tc>
        <w:tc>
          <w:tcPr>
            <w:tcW w:w="1474" w:type="dxa"/>
            <w:tcBorders>
              <w:top w:val="nil"/>
              <w:left w:val="nil"/>
              <w:bottom w:val="single" w:sz="4" w:space="0" w:color="auto"/>
              <w:right w:val="single" w:sz="4" w:space="0" w:color="auto"/>
            </w:tcBorders>
            <w:shd w:val="clear" w:color="auto" w:fill="auto"/>
            <w:vAlign w:val="center"/>
            <w:hideMark/>
          </w:tcPr>
          <w:p w14:paraId="6920CAFA"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2</w:t>
            </w:r>
          </w:p>
        </w:tc>
        <w:tc>
          <w:tcPr>
            <w:tcW w:w="1474" w:type="dxa"/>
            <w:tcBorders>
              <w:top w:val="nil"/>
              <w:left w:val="nil"/>
              <w:bottom w:val="single" w:sz="4" w:space="0" w:color="auto"/>
              <w:right w:val="single" w:sz="4" w:space="0" w:color="auto"/>
            </w:tcBorders>
            <w:shd w:val="clear" w:color="auto" w:fill="auto"/>
            <w:vAlign w:val="center"/>
            <w:hideMark/>
          </w:tcPr>
          <w:p w14:paraId="2A17BAAE"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2</w:t>
            </w:r>
          </w:p>
        </w:tc>
        <w:tc>
          <w:tcPr>
            <w:tcW w:w="1627" w:type="dxa"/>
            <w:tcBorders>
              <w:top w:val="nil"/>
              <w:left w:val="nil"/>
              <w:bottom w:val="single" w:sz="4" w:space="0" w:color="auto"/>
              <w:right w:val="single" w:sz="4" w:space="0" w:color="auto"/>
            </w:tcBorders>
            <w:shd w:val="clear" w:color="auto" w:fill="auto"/>
            <w:vAlign w:val="center"/>
            <w:hideMark/>
          </w:tcPr>
          <w:p w14:paraId="6B61613A"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0</w:t>
            </w:r>
          </w:p>
        </w:tc>
        <w:tc>
          <w:tcPr>
            <w:tcW w:w="1618" w:type="dxa"/>
            <w:tcBorders>
              <w:top w:val="nil"/>
              <w:left w:val="nil"/>
              <w:bottom w:val="single" w:sz="4" w:space="0" w:color="auto"/>
              <w:right w:val="single" w:sz="4" w:space="0" w:color="auto"/>
            </w:tcBorders>
            <w:shd w:val="clear" w:color="auto" w:fill="auto"/>
            <w:vAlign w:val="center"/>
            <w:hideMark/>
          </w:tcPr>
          <w:p w14:paraId="11DBDADF" w14:textId="77777777" w:rsidR="00217E5F" w:rsidRPr="007F03BF" w:rsidRDefault="00217E5F" w:rsidP="00FB7E72">
            <w:pPr>
              <w:jc w:val="center"/>
              <w:rPr>
                <w:rFonts w:ascii="Arial" w:hAnsi="Arial" w:cs="Arial"/>
                <w:color w:val="000000" w:themeColor="text1"/>
                <w:sz w:val="20"/>
                <w:szCs w:val="20"/>
              </w:rPr>
            </w:pPr>
            <w:r w:rsidRPr="007F03BF">
              <w:rPr>
                <w:rFonts w:ascii="Arial" w:hAnsi="Arial" w:cs="Arial"/>
                <w:color w:val="000000" w:themeColor="text1"/>
                <w:sz w:val="20"/>
                <w:szCs w:val="20"/>
              </w:rPr>
              <w:t>0</w:t>
            </w:r>
          </w:p>
        </w:tc>
      </w:tr>
      <w:tr w:rsidR="00217E5F" w:rsidRPr="007F03BF" w14:paraId="53069AB3" w14:textId="77777777" w:rsidTr="00FB7E72">
        <w:trPr>
          <w:trHeight w:val="740"/>
        </w:trPr>
        <w:tc>
          <w:tcPr>
            <w:tcW w:w="1730" w:type="dxa"/>
            <w:tcBorders>
              <w:top w:val="nil"/>
              <w:left w:val="single" w:sz="4" w:space="0" w:color="auto"/>
              <w:bottom w:val="single" w:sz="4" w:space="0" w:color="auto"/>
              <w:right w:val="single" w:sz="4" w:space="0" w:color="auto"/>
            </w:tcBorders>
            <w:shd w:val="clear" w:color="auto" w:fill="auto"/>
            <w:vAlign w:val="bottom"/>
            <w:hideMark/>
          </w:tcPr>
          <w:p w14:paraId="4D692E27" w14:textId="77777777" w:rsidR="00217E5F" w:rsidRPr="007F03BF" w:rsidRDefault="00217E5F" w:rsidP="00FB7E72">
            <w:pPr>
              <w:rPr>
                <w:rFonts w:ascii="Arial" w:hAnsi="Arial" w:cs="Arial"/>
                <w:color w:val="000000" w:themeColor="text1"/>
                <w:sz w:val="20"/>
                <w:szCs w:val="20"/>
              </w:rPr>
            </w:pPr>
            <w:r w:rsidRPr="007F03BF">
              <w:rPr>
                <w:rFonts w:ascii="Arial" w:hAnsi="Arial" w:cs="Arial"/>
                <w:color w:val="000000" w:themeColor="text1"/>
                <w:sz w:val="20"/>
                <w:szCs w:val="20"/>
              </w:rPr>
              <w:t>Poder Ejecutivo - Desconcentrados y Paraestatales Descentralizados, Auxiliares</w:t>
            </w:r>
          </w:p>
        </w:tc>
        <w:tc>
          <w:tcPr>
            <w:tcW w:w="1286" w:type="dxa"/>
            <w:tcBorders>
              <w:top w:val="nil"/>
              <w:left w:val="nil"/>
              <w:bottom w:val="single" w:sz="4" w:space="0" w:color="auto"/>
              <w:right w:val="single" w:sz="4" w:space="0" w:color="auto"/>
            </w:tcBorders>
            <w:shd w:val="clear" w:color="000000" w:fill="FFFFFF"/>
            <w:vAlign w:val="center"/>
            <w:hideMark/>
          </w:tcPr>
          <w:p w14:paraId="571C6E73"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7</w:t>
            </w:r>
          </w:p>
        </w:tc>
        <w:tc>
          <w:tcPr>
            <w:tcW w:w="1474" w:type="dxa"/>
            <w:tcBorders>
              <w:top w:val="nil"/>
              <w:left w:val="nil"/>
              <w:bottom w:val="single" w:sz="4" w:space="0" w:color="auto"/>
              <w:right w:val="single" w:sz="4" w:space="0" w:color="auto"/>
            </w:tcBorders>
            <w:shd w:val="clear" w:color="auto" w:fill="auto"/>
            <w:vAlign w:val="center"/>
            <w:hideMark/>
          </w:tcPr>
          <w:p w14:paraId="78C61B46"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1</w:t>
            </w:r>
          </w:p>
        </w:tc>
        <w:tc>
          <w:tcPr>
            <w:tcW w:w="1474" w:type="dxa"/>
            <w:tcBorders>
              <w:top w:val="nil"/>
              <w:left w:val="nil"/>
              <w:bottom w:val="single" w:sz="4" w:space="0" w:color="auto"/>
              <w:right w:val="single" w:sz="4" w:space="0" w:color="auto"/>
            </w:tcBorders>
            <w:shd w:val="clear" w:color="auto" w:fill="auto"/>
            <w:vAlign w:val="center"/>
            <w:hideMark/>
          </w:tcPr>
          <w:p w14:paraId="6311430A"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4</w:t>
            </w:r>
          </w:p>
        </w:tc>
        <w:tc>
          <w:tcPr>
            <w:tcW w:w="1627" w:type="dxa"/>
            <w:tcBorders>
              <w:top w:val="nil"/>
              <w:left w:val="nil"/>
              <w:bottom w:val="single" w:sz="4" w:space="0" w:color="auto"/>
              <w:right w:val="single" w:sz="4" w:space="0" w:color="auto"/>
            </w:tcBorders>
            <w:shd w:val="clear" w:color="auto" w:fill="auto"/>
            <w:vAlign w:val="center"/>
            <w:hideMark/>
          </w:tcPr>
          <w:p w14:paraId="2845C527"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2</w:t>
            </w:r>
          </w:p>
        </w:tc>
        <w:tc>
          <w:tcPr>
            <w:tcW w:w="1618" w:type="dxa"/>
            <w:tcBorders>
              <w:top w:val="nil"/>
              <w:left w:val="nil"/>
              <w:bottom w:val="single" w:sz="4" w:space="0" w:color="auto"/>
              <w:right w:val="single" w:sz="4" w:space="0" w:color="auto"/>
            </w:tcBorders>
            <w:shd w:val="clear" w:color="auto" w:fill="auto"/>
            <w:vAlign w:val="center"/>
            <w:hideMark/>
          </w:tcPr>
          <w:p w14:paraId="17A93FF0" w14:textId="77777777" w:rsidR="00217E5F" w:rsidRPr="007F03BF" w:rsidRDefault="00217E5F" w:rsidP="00FB7E72">
            <w:pPr>
              <w:jc w:val="center"/>
              <w:rPr>
                <w:rFonts w:ascii="Arial" w:hAnsi="Arial" w:cs="Arial"/>
                <w:color w:val="000000" w:themeColor="text1"/>
                <w:sz w:val="20"/>
                <w:szCs w:val="20"/>
              </w:rPr>
            </w:pPr>
            <w:r w:rsidRPr="007F03BF">
              <w:rPr>
                <w:rFonts w:ascii="Arial" w:hAnsi="Arial" w:cs="Arial"/>
                <w:color w:val="000000" w:themeColor="text1"/>
                <w:sz w:val="20"/>
                <w:szCs w:val="20"/>
              </w:rPr>
              <w:t>0</w:t>
            </w:r>
          </w:p>
        </w:tc>
      </w:tr>
      <w:tr w:rsidR="00217E5F" w:rsidRPr="007F03BF" w14:paraId="42D8CAF9" w14:textId="77777777" w:rsidTr="00FB7E72">
        <w:trPr>
          <w:trHeight w:val="580"/>
        </w:trPr>
        <w:tc>
          <w:tcPr>
            <w:tcW w:w="1730" w:type="dxa"/>
            <w:tcBorders>
              <w:top w:val="nil"/>
              <w:left w:val="single" w:sz="4" w:space="0" w:color="auto"/>
              <w:bottom w:val="single" w:sz="4" w:space="0" w:color="auto"/>
              <w:right w:val="single" w:sz="4" w:space="0" w:color="auto"/>
            </w:tcBorders>
            <w:shd w:val="clear" w:color="auto" w:fill="auto"/>
            <w:vAlign w:val="bottom"/>
            <w:hideMark/>
          </w:tcPr>
          <w:p w14:paraId="3F69ADED" w14:textId="77777777" w:rsidR="00217E5F" w:rsidRPr="007F03BF" w:rsidRDefault="00217E5F" w:rsidP="00FB7E72">
            <w:pPr>
              <w:rPr>
                <w:rFonts w:ascii="Arial" w:hAnsi="Arial" w:cs="Arial"/>
                <w:color w:val="000000" w:themeColor="text1"/>
                <w:sz w:val="20"/>
                <w:szCs w:val="20"/>
              </w:rPr>
            </w:pPr>
            <w:r w:rsidRPr="007F03BF">
              <w:rPr>
                <w:rFonts w:ascii="Arial" w:hAnsi="Arial" w:cs="Arial"/>
                <w:color w:val="000000" w:themeColor="text1"/>
                <w:sz w:val="20"/>
                <w:szCs w:val="20"/>
              </w:rPr>
              <w:t>Poder Ejecutivo - Demarcaciones Políticas / Alcaldías</w:t>
            </w:r>
          </w:p>
        </w:tc>
        <w:tc>
          <w:tcPr>
            <w:tcW w:w="1286" w:type="dxa"/>
            <w:tcBorders>
              <w:top w:val="nil"/>
              <w:left w:val="nil"/>
              <w:bottom w:val="single" w:sz="4" w:space="0" w:color="auto"/>
              <w:right w:val="single" w:sz="4" w:space="0" w:color="auto"/>
            </w:tcBorders>
            <w:shd w:val="clear" w:color="000000" w:fill="FFFFFF"/>
            <w:vAlign w:val="center"/>
            <w:hideMark/>
          </w:tcPr>
          <w:p w14:paraId="54424253"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14</w:t>
            </w:r>
          </w:p>
        </w:tc>
        <w:tc>
          <w:tcPr>
            <w:tcW w:w="1474" w:type="dxa"/>
            <w:tcBorders>
              <w:top w:val="nil"/>
              <w:left w:val="nil"/>
              <w:bottom w:val="single" w:sz="4" w:space="0" w:color="auto"/>
              <w:right w:val="single" w:sz="4" w:space="0" w:color="auto"/>
            </w:tcBorders>
            <w:shd w:val="clear" w:color="auto" w:fill="auto"/>
            <w:vAlign w:val="center"/>
            <w:hideMark/>
          </w:tcPr>
          <w:p w14:paraId="0CF75335"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3</w:t>
            </w:r>
          </w:p>
        </w:tc>
        <w:tc>
          <w:tcPr>
            <w:tcW w:w="1474" w:type="dxa"/>
            <w:tcBorders>
              <w:top w:val="nil"/>
              <w:left w:val="nil"/>
              <w:bottom w:val="single" w:sz="4" w:space="0" w:color="auto"/>
              <w:right w:val="single" w:sz="4" w:space="0" w:color="auto"/>
            </w:tcBorders>
            <w:shd w:val="clear" w:color="auto" w:fill="auto"/>
            <w:vAlign w:val="center"/>
            <w:hideMark/>
          </w:tcPr>
          <w:p w14:paraId="073FBEB2"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11</w:t>
            </w:r>
          </w:p>
        </w:tc>
        <w:tc>
          <w:tcPr>
            <w:tcW w:w="1627" w:type="dxa"/>
            <w:tcBorders>
              <w:top w:val="nil"/>
              <w:left w:val="nil"/>
              <w:bottom w:val="single" w:sz="4" w:space="0" w:color="auto"/>
              <w:right w:val="single" w:sz="4" w:space="0" w:color="auto"/>
            </w:tcBorders>
            <w:shd w:val="clear" w:color="auto" w:fill="auto"/>
            <w:vAlign w:val="center"/>
            <w:hideMark/>
          </w:tcPr>
          <w:p w14:paraId="33836D1C"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0</w:t>
            </w:r>
          </w:p>
        </w:tc>
        <w:tc>
          <w:tcPr>
            <w:tcW w:w="1618" w:type="dxa"/>
            <w:tcBorders>
              <w:top w:val="nil"/>
              <w:left w:val="nil"/>
              <w:bottom w:val="single" w:sz="4" w:space="0" w:color="auto"/>
              <w:right w:val="single" w:sz="4" w:space="0" w:color="auto"/>
            </w:tcBorders>
            <w:shd w:val="clear" w:color="auto" w:fill="auto"/>
            <w:vAlign w:val="center"/>
            <w:hideMark/>
          </w:tcPr>
          <w:p w14:paraId="53FD98B9" w14:textId="77777777" w:rsidR="00217E5F" w:rsidRPr="007F03BF" w:rsidRDefault="00217E5F" w:rsidP="00FB7E72">
            <w:pPr>
              <w:jc w:val="center"/>
              <w:rPr>
                <w:rFonts w:ascii="Arial" w:hAnsi="Arial" w:cs="Arial"/>
                <w:color w:val="000000" w:themeColor="text1"/>
                <w:sz w:val="20"/>
                <w:szCs w:val="20"/>
              </w:rPr>
            </w:pPr>
            <w:r w:rsidRPr="007F03BF">
              <w:rPr>
                <w:rFonts w:ascii="Arial" w:hAnsi="Arial" w:cs="Arial"/>
                <w:color w:val="000000" w:themeColor="text1"/>
                <w:sz w:val="20"/>
                <w:szCs w:val="20"/>
              </w:rPr>
              <w:t>0</w:t>
            </w:r>
          </w:p>
        </w:tc>
      </w:tr>
      <w:tr w:rsidR="00217E5F" w:rsidRPr="007F03BF" w14:paraId="6354BC56" w14:textId="77777777" w:rsidTr="00FB7E72">
        <w:trPr>
          <w:trHeight w:val="300"/>
        </w:trPr>
        <w:tc>
          <w:tcPr>
            <w:tcW w:w="1730" w:type="dxa"/>
            <w:tcBorders>
              <w:top w:val="nil"/>
              <w:left w:val="single" w:sz="4" w:space="0" w:color="auto"/>
              <w:bottom w:val="single" w:sz="4" w:space="0" w:color="auto"/>
              <w:right w:val="single" w:sz="4" w:space="0" w:color="auto"/>
            </w:tcBorders>
            <w:shd w:val="clear" w:color="auto" w:fill="auto"/>
            <w:vAlign w:val="bottom"/>
            <w:hideMark/>
          </w:tcPr>
          <w:p w14:paraId="11EF7D2A" w14:textId="77777777" w:rsidR="00217E5F" w:rsidRPr="007F03BF" w:rsidRDefault="00217E5F" w:rsidP="00FB7E72">
            <w:pPr>
              <w:rPr>
                <w:rFonts w:ascii="Arial" w:hAnsi="Arial" w:cs="Arial"/>
                <w:color w:val="000000" w:themeColor="text1"/>
                <w:sz w:val="20"/>
                <w:szCs w:val="20"/>
              </w:rPr>
            </w:pPr>
            <w:r w:rsidRPr="007F03BF">
              <w:rPr>
                <w:rFonts w:ascii="Arial" w:hAnsi="Arial" w:cs="Arial"/>
                <w:color w:val="000000" w:themeColor="text1"/>
                <w:sz w:val="20"/>
                <w:szCs w:val="20"/>
              </w:rPr>
              <w:t>Poder Legislativo</w:t>
            </w:r>
          </w:p>
        </w:tc>
        <w:tc>
          <w:tcPr>
            <w:tcW w:w="1286" w:type="dxa"/>
            <w:tcBorders>
              <w:top w:val="nil"/>
              <w:left w:val="nil"/>
              <w:bottom w:val="single" w:sz="4" w:space="0" w:color="auto"/>
              <w:right w:val="single" w:sz="4" w:space="0" w:color="auto"/>
            </w:tcBorders>
            <w:shd w:val="clear" w:color="000000" w:fill="FFFFFF"/>
            <w:vAlign w:val="center"/>
            <w:hideMark/>
          </w:tcPr>
          <w:p w14:paraId="2BA16B68"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1</w:t>
            </w:r>
          </w:p>
        </w:tc>
        <w:tc>
          <w:tcPr>
            <w:tcW w:w="1474" w:type="dxa"/>
            <w:tcBorders>
              <w:top w:val="nil"/>
              <w:left w:val="nil"/>
              <w:bottom w:val="single" w:sz="4" w:space="0" w:color="auto"/>
              <w:right w:val="single" w:sz="4" w:space="0" w:color="auto"/>
            </w:tcBorders>
            <w:shd w:val="clear" w:color="auto" w:fill="auto"/>
            <w:vAlign w:val="center"/>
            <w:hideMark/>
          </w:tcPr>
          <w:p w14:paraId="6AA242A1"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0</w:t>
            </w:r>
          </w:p>
        </w:tc>
        <w:tc>
          <w:tcPr>
            <w:tcW w:w="1474" w:type="dxa"/>
            <w:tcBorders>
              <w:top w:val="nil"/>
              <w:left w:val="nil"/>
              <w:bottom w:val="single" w:sz="4" w:space="0" w:color="auto"/>
              <w:right w:val="single" w:sz="4" w:space="0" w:color="auto"/>
            </w:tcBorders>
            <w:shd w:val="clear" w:color="auto" w:fill="auto"/>
            <w:vAlign w:val="center"/>
            <w:hideMark/>
          </w:tcPr>
          <w:p w14:paraId="6DE31020"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1</w:t>
            </w:r>
          </w:p>
        </w:tc>
        <w:tc>
          <w:tcPr>
            <w:tcW w:w="1627" w:type="dxa"/>
            <w:tcBorders>
              <w:top w:val="nil"/>
              <w:left w:val="nil"/>
              <w:bottom w:val="single" w:sz="4" w:space="0" w:color="auto"/>
              <w:right w:val="single" w:sz="4" w:space="0" w:color="auto"/>
            </w:tcBorders>
            <w:shd w:val="clear" w:color="auto" w:fill="auto"/>
            <w:vAlign w:val="center"/>
            <w:hideMark/>
          </w:tcPr>
          <w:p w14:paraId="3AEE7C35"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0</w:t>
            </w:r>
          </w:p>
        </w:tc>
        <w:tc>
          <w:tcPr>
            <w:tcW w:w="1618" w:type="dxa"/>
            <w:tcBorders>
              <w:top w:val="nil"/>
              <w:left w:val="nil"/>
              <w:bottom w:val="single" w:sz="4" w:space="0" w:color="auto"/>
              <w:right w:val="single" w:sz="4" w:space="0" w:color="auto"/>
            </w:tcBorders>
            <w:shd w:val="clear" w:color="auto" w:fill="auto"/>
            <w:vAlign w:val="center"/>
            <w:hideMark/>
          </w:tcPr>
          <w:p w14:paraId="6A1FDC56" w14:textId="77777777" w:rsidR="00217E5F" w:rsidRPr="007F03BF" w:rsidRDefault="00217E5F" w:rsidP="00FB7E72">
            <w:pPr>
              <w:jc w:val="center"/>
              <w:rPr>
                <w:rFonts w:ascii="Arial" w:hAnsi="Arial" w:cs="Arial"/>
                <w:color w:val="000000" w:themeColor="text1"/>
                <w:sz w:val="20"/>
                <w:szCs w:val="20"/>
              </w:rPr>
            </w:pPr>
            <w:r w:rsidRPr="007F03BF">
              <w:rPr>
                <w:rFonts w:ascii="Arial" w:hAnsi="Arial" w:cs="Arial"/>
                <w:color w:val="000000" w:themeColor="text1"/>
                <w:sz w:val="20"/>
                <w:szCs w:val="20"/>
              </w:rPr>
              <w:t>0</w:t>
            </w:r>
          </w:p>
        </w:tc>
      </w:tr>
      <w:tr w:rsidR="00217E5F" w:rsidRPr="007F03BF" w14:paraId="624C2084" w14:textId="77777777" w:rsidTr="00FB7E72">
        <w:trPr>
          <w:trHeight w:val="300"/>
        </w:trPr>
        <w:tc>
          <w:tcPr>
            <w:tcW w:w="1730" w:type="dxa"/>
            <w:tcBorders>
              <w:top w:val="nil"/>
              <w:left w:val="single" w:sz="4" w:space="0" w:color="auto"/>
              <w:bottom w:val="single" w:sz="4" w:space="0" w:color="auto"/>
              <w:right w:val="single" w:sz="4" w:space="0" w:color="auto"/>
            </w:tcBorders>
            <w:shd w:val="clear" w:color="auto" w:fill="auto"/>
            <w:vAlign w:val="bottom"/>
            <w:hideMark/>
          </w:tcPr>
          <w:p w14:paraId="44CA1B10" w14:textId="77777777" w:rsidR="00217E5F" w:rsidRPr="007F03BF" w:rsidRDefault="00217E5F" w:rsidP="00FB7E72">
            <w:pPr>
              <w:rPr>
                <w:rFonts w:ascii="Arial" w:hAnsi="Arial" w:cs="Arial"/>
                <w:color w:val="000000" w:themeColor="text1"/>
                <w:sz w:val="20"/>
                <w:szCs w:val="20"/>
              </w:rPr>
            </w:pPr>
            <w:r w:rsidRPr="007F03BF">
              <w:rPr>
                <w:rFonts w:ascii="Arial" w:hAnsi="Arial" w:cs="Arial"/>
                <w:color w:val="000000" w:themeColor="text1"/>
                <w:sz w:val="20"/>
                <w:szCs w:val="20"/>
              </w:rPr>
              <w:t>Órganos Autónomos</w:t>
            </w:r>
          </w:p>
        </w:tc>
        <w:tc>
          <w:tcPr>
            <w:tcW w:w="1286" w:type="dxa"/>
            <w:tcBorders>
              <w:top w:val="nil"/>
              <w:left w:val="nil"/>
              <w:bottom w:val="single" w:sz="4" w:space="0" w:color="auto"/>
              <w:right w:val="single" w:sz="4" w:space="0" w:color="auto"/>
            </w:tcBorders>
            <w:shd w:val="clear" w:color="000000" w:fill="FFFFFF"/>
            <w:vAlign w:val="center"/>
            <w:hideMark/>
          </w:tcPr>
          <w:p w14:paraId="187D1D44"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1</w:t>
            </w:r>
          </w:p>
        </w:tc>
        <w:tc>
          <w:tcPr>
            <w:tcW w:w="1474" w:type="dxa"/>
            <w:tcBorders>
              <w:top w:val="nil"/>
              <w:left w:val="nil"/>
              <w:bottom w:val="single" w:sz="4" w:space="0" w:color="auto"/>
              <w:right w:val="single" w:sz="4" w:space="0" w:color="auto"/>
            </w:tcBorders>
            <w:shd w:val="clear" w:color="auto" w:fill="auto"/>
            <w:vAlign w:val="center"/>
            <w:hideMark/>
          </w:tcPr>
          <w:p w14:paraId="12D87520"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0</w:t>
            </w:r>
          </w:p>
        </w:tc>
        <w:tc>
          <w:tcPr>
            <w:tcW w:w="1474" w:type="dxa"/>
            <w:tcBorders>
              <w:top w:val="nil"/>
              <w:left w:val="nil"/>
              <w:bottom w:val="single" w:sz="4" w:space="0" w:color="auto"/>
              <w:right w:val="single" w:sz="4" w:space="0" w:color="auto"/>
            </w:tcBorders>
            <w:shd w:val="clear" w:color="auto" w:fill="auto"/>
            <w:vAlign w:val="center"/>
            <w:hideMark/>
          </w:tcPr>
          <w:p w14:paraId="151201AD"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1</w:t>
            </w:r>
          </w:p>
        </w:tc>
        <w:tc>
          <w:tcPr>
            <w:tcW w:w="1627" w:type="dxa"/>
            <w:tcBorders>
              <w:top w:val="nil"/>
              <w:left w:val="nil"/>
              <w:bottom w:val="single" w:sz="4" w:space="0" w:color="auto"/>
              <w:right w:val="single" w:sz="4" w:space="0" w:color="auto"/>
            </w:tcBorders>
            <w:shd w:val="clear" w:color="auto" w:fill="auto"/>
            <w:vAlign w:val="center"/>
            <w:hideMark/>
          </w:tcPr>
          <w:p w14:paraId="6ED71466"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0</w:t>
            </w:r>
          </w:p>
        </w:tc>
        <w:tc>
          <w:tcPr>
            <w:tcW w:w="1618" w:type="dxa"/>
            <w:tcBorders>
              <w:top w:val="nil"/>
              <w:left w:val="nil"/>
              <w:bottom w:val="single" w:sz="4" w:space="0" w:color="auto"/>
              <w:right w:val="single" w:sz="4" w:space="0" w:color="auto"/>
            </w:tcBorders>
            <w:shd w:val="clear" w:color="auto" w:fill="auto"/>
            <w:vAlign w:val="center"/>
            <w:hideMark/>
          </w:tcPr>
          <w:p w14:paraId="4C3682FE" w14:textId="77777777" w:rsidR="00217E5F" w:rsidRPr="007F03BF" w:rsidRDefault="00217E5F" w:rsidP="00FB7E72">
            <w:pPr>
              <w:jc w:val="center"/>
              <w:rPr>
                <w:rFonts w:ascii="Arial" w:hAnsi="Arial" w:cs="Arial"/>
                <w:color w:val="000000" w:themeColor="text1"/>
                <w:sz w:val="20"/>
                <w:szCs w:val="20"/>
              </w:rPr>
            </w:pPr>
            <w:r w:rsidRPr="007F03BF">
              <w:rPr>
                <w:rFonts w:ascii="Arial" w:hAnsi="Arial" w:cs="Arial"/>
                <w:color w:val="000000" w:themeColor="text1"/>
                <w:sz w:val="20"/>
                <w:szCs w:val="20"/>
              </w:rPr>
              <w:t>0</w:t>
            </w:r>
          </w:p>
        </w:tc>
      </w:tr>
      <w:tr w:rsidR="00217E5F" w:rsidRPr="007F03BF" w14:paraId="09E3AA7B" w14:textId="77777777" w:rsidTr="00FB7E72">
        <w:trPr>
          <w:trHeight w:val="300"/>
        </w:trPr>
        <w:tc>
          <w:tcPr>
            <w:tcW w:w="1730" w:type="dxa"/>
            <w:tcBorders>
              <w:top w:val="nil"/>
              <w:left w:val="single" w:sz="4" w:space="0" w:color="auto"/>
              <w:bottom w:val="single" w:sz="4" w:space="0" w:color="auto"/>
              <w:right w:val="single" w:sz="4" w:space="0" w:color="auto"/>
            </w:tcBorders>
            <w:shd w:val="clear" w:color="auto" w:fill="auto"/>
            <w:vAlign w:val="bottom"/>
            <w:hideMark/>
          </w:tcPr>
          <w:p w14:paraId="1D88446B" w14:textId="77777777" w:rsidR="00217E5F" w:rsidRPr="007F03BF" w:rsidRDefault="00217E5F" w:rsidP="00FB7E72">
            <w:pPr>
              <w:rPr>
                <w:rFonts w:ascii="Arial" w:hAnsi="Arial" w:cs="Arial"/>
                <w:color w:val="000000" w:themeColor="text1"/>
                <w:sz w:val="20"/>
                <w:szCs w:val="20"/>
              </w:rPr>
            </w:pPr>
            <w:r w:rsidRPr="007F03BF">
              <w:rPr>
                <w:rFonts w:ascii="Arial" w:hAnsi="Arial" w:cs="Arial"/>
                <w:color w:val="000000" w:themeColor="text1"/>
                <w:sz w:val="20"/>
                <w:szCs w:val="20"/>
              </w:rPr>
              <w:t>Sindicatos</w:t>
            </w:r>
          </w:p>
        </w:tc>
        <w:tc>
          <w:tcPr>
            <w:tcW w:w="1286" w:type="dxa"/>
            <w:tcBorders>
              <w:top w:val="nil"/>
              <w:left w:val="nil"/>
              <w:bottom w:val="single" w:sz="4" w:space="0" w:color="auto"/>
              <w:right w:val="single" w:sz="4" w:space="0" w:color="auto"/>
            </w:tcBorders>
            <w:shd w:val="clear" w:color="000000" w:fill="FFFFFF"/>
            <w:vAlign w:val="center"/>
            <w:hideMark/>
          </w:tcPr>
          <w:p w14:paraId="0FB575E5"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1</w:t>
            </w:r>
          </w:p>
        </w:tc>
        <w:tc>
          <w:tcPr>
            <w:tcW w:w="1474" w:type="dxa"/>
            <w:tcBorders>
              <w:top w:val="nil"/>
              <w:left w:val="nil"/>
              <w:bottom w:val="single" w:sz="4" w:space="0" w:color="auto"/>
              <w:right w:val="single" w:sz="4" w:space="0" w:color="auto"/>
            </w:tcBorders>
            <w:shd w:val="clear" w:color="auto" w:fill="auto"/>
            <w:vAlign w:val="center"/>
            <w:hideMark/>
          </w:tcPr>
          <w:p w14:paraId="3F788E6F"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0</w:t>
            </w:r>
          </w:p>
        </w:tc>
        <w:tc>
          <w:tcPr>
            <w:tcW w:w="1474" w:type="dxa"/>
            <w:tcBorders>
              <w:top w:val="nil"/>
              <w:left w:val="nil"/>
              <w:bottom w:val="single" w:sz="4" w:space="0" w:color="auto"/>
              <w:right w:val="single" w:sz="4" w:space="0" w:color="auto"/>
            </w:tcBorders>
            <w:shd w:val="clear" w:color="auto" w:fill="auto"/>
            <w:vAlign w:val="center"/>
            <w:hideMark/>
          </w:tcPr>
          <w:p w14:paraId="0EFD13AA"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1</w:t>
            </w:r>
          </w:p>
        </w:tc>
        <w:tc>
          <w:tcPr>
            <w:tcW w:w="1627" w:type="dxa"/>
            <w:tcBorders>
              <w:top w:val="nil"/>
              <w:left w:val="nil"/>
              <w:bottom w:val="single" w:sz="4" w:space="0" w:color="auto"/>
              <w:right w:val="single" w:sz="4" w:space="0" w:color="auto"/>
            </w:tcBorders>
            <w:shd w:val="clear" w:color="auto" w:fill="auto"/>
            <w:vAlign w:val="center"/>
            <w:hideMark/>
          </w:tcPr>
          <w:p w14:paraId="1DE82458" w14:textId="77777777" w:rsidR="00217E5F" w:rsidRPr="007F03BF" w:rsidRDefault="00217E5F" w:rsidP="00FB7E72">
            <w:pPr>
              <w:jc w:val="center"/>
              <w:rPr>
                <w:rFonts w:ascii="Arial" w:hAnsi="Arial" w:cs="Arial"/>
                <w:color w:val="000000"/>
                <w:sz w:val="20"/>
                <w:szCs w:val="20"/>
              </w:rPr>
            </w:pPr>
            <w:r w:rsidRPr="007F03BF">
              <w:rPr>
                <w:rFonts w:ascii="Arial" w:hAnsi="Arial" w:cs="Arial"/>
                <w:color w:val="000000"/>
                <w:sz w:val="20"/>
                <w:szCs w:val="20"/>
              </w:rPr>
              <w:t>0</w:t>
            </w:r>
          </w:p>
        </w:tc>
        <w:tc>
          <w:tcPr>
            <w:tcW w:w="1618" w:type="dxa"/>
            <w:tcBorders>
              <w:top w:val="nil"/>
              <w:left w:val="nil"/>
              <w:bottom w:val="single" w:sz="4" w:space="0" w:color="auto"/>
              <w:right w:val="single" w:sz="4" w:space="0" w:color="auto"/>
            </w:tcBorders>
            <w:shd w:val="clear" w:color="auto" w:fill="auto"/>
            <w:vAlign w:val="center"/>
            <w:hideMark/>
          </w:tcPr>
          <w:p w14:paraId="6DC717A9" w14:textId="77777777" w:rsidR="00217E5F" w:rsidRPr="007F03BF" w:rsidRDefault="00217E5F" w:rsidP="00FB7E72">
            <w:pPr>
              <w:jc w:val="center"/>
              <w:rPr>
                <w:rFonts w:ascii="Arial" w:hAnsi="Arial" w:cs="Arial"/>
                <w:color w:val="000000" w:themeColor="text1"/>
                <w:sz w:val="20"/>
                <w:szCs w:val="20"/>
              </w:rPr>
            </w:pPr>
            <w:r w:rsidRPr="007F03BF">
              <w:rPr>
                <w:rFonts w:ascii="Arial" w:hAnsi="Arial" w:cs="Arial"/>
                <w:color w:val="000000" w:themeColor="text1"/>
                <w:sz w:val="20"/>
                <w:szCs w:val="20"/>
              </w:rPr>
              <w:t>0</w:t>
            </w:r>
          </w:p>
        </w:tc>
      </w:tr>
      <w:tr w:rsidR="00217E5F" w:rsidRPr="007F03BF" w14:paraId="26E23EED" w14:textId="77777777" w:rsidTr="00FB7E72">
        <w:trPr>
          <w:trHeight w:val="300"/>
        </w:trPr>
        <w:tc>
          <w:tcPr>
            <w:tcW w:w="1730" w:type="dxa"/>
            <w:tcBorders>
              <w:top w:val="nil"/>
              <w:left w:val="single" w:sz="4" w:space="0" w:color="auto"/>
              <w:bottom w:val="single" w:sz="4" w:space="0" w:color="auto"/>
              <w:right w:val="single" w:sz="4" w:space="0" w:color="auto"/>
            </w:tcBorders>
            <w:shd w:val="clear" w:color="auto" w:fill="auto"/>
            <w:vAlign w:val="center"/>
            <w:hideMark/>
          </w:tcPr>
          <w:p w14:paraId="7E0FDC5D" w14:textId="77777777" w:rsidR="00217E5F" w:rsidRPr="007F03BF" w:rsidRDefault="00217E5F" w:rsidP="00FB7E72">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Total</w:t>
            </w:r>
          </w:p>
        </w:tc>
        <w:tc>
          <w:tcPr>
            <w:tcW w:w="1286" w:type="dxa"/>
            <w:tcBorders>
              <w:top w:val="nil"/>
              <w:left w:val="nil"/>
              <w:bottom w:val="single" w:sz="4" w:space="0" w:color="auto"/>
              <w:right w:val="single" w:sz="4" w:space="0" w:color="auto"/>
            </w:tcBorders>
            <w:shd w:val="clear" w:color="auto" w:fill="auto"/>
            <w:vAlign w:val="center"/>
            <w:hideMark/>
          </w:tcPr>
          <w:p w14:paraId="4185D804" w14:textId="77777777" w:rsidR="00217E5F" w:rsidRPr="007F03BF" w:rsidRDefault="00217E5F" w:rsidP="00FB7E72">
            <w:pPr>
              <w:jc w:val="center"/>
              <w:rPr>
                <w:rFonts w:ascii="Arial" w:hAnsi="Arial" w:cs="Arial"/>
                <w:b/>
                <w:bCs/>
                <w:color w:val="000000"/>
                <w:sz w:val="20"/>
                <w:szCs w:val="20"/>
              </w:rPr>
            </w:pPr>
            <w:r w:rsidRPr="007F03BF">
              <w:rPr>
                <w:rFonts w:ascii="Arial" w:hAnsi="Arial" w:cs="Arial"/>
                <w:b/>
                <w:bCs/>
                <w:color w:val="000000"/>
                <w:sz w:val="20"/>
                <w:szCs w:val="20"/>
              </w:rPr>
              <w:t>28</w:t>
            </w:r>
          </w:p>
        </w:tc>
        <w:tc>
          <w:tcPr>
            <w:tcW w:w="1474" w:type="dxa"/>
            <w:tcBorders>
              <w:top w:val="nil"/>
              <w:left w:val="nil"/>
              <w:bottom w:val="single" w:sz="4" w:space="0" w:color="auto"/>
              <w:right w:val="single" w:sz="4" w:space="0" w:color="auto"/>
            </w:tcBorders>
            <w:shd w:val="clear" w:color="auto" w:fill="auto"/>
            <w:vAlign w:val="center"/>
            <w:hideMark/>
          </w:tcPr>
          <w:p w14:paraId="46BCF196" w14:textId="77777777" w:rsidR="00217E5F" w:rsidRPr="007F03BF" w:rsidRDefault="00217E5F" w:rsidP="00FB7E72">
            <w:pPr>
              <w:jc w:val="center"/>
              <w:rPr>
                <w:rFonts w:ascii="Arial" w:hAnsi="Arial" w:cs="Arial"/>
                <w:b/>
                <w:bCs/>
                <w:color w:val="000000"/>
                <w:sz w:val="20"/>
                <w:szCs w:val="20"/>
              </w:rPr>
            </w:pPr>
            <w:r w:rsidRPr="007F03BF">
              <w:rPr>
                <w:rFonts w:ascii="Arial" w:hAnsi="Arial" w:cs="Arial"/>
                <w:b/>
                <w:bCs/>
                <w:color w:val="000000"/>
                <w:sz w:val="20"/>
                <w:szCs w:val="20"/>
              </w:rPr>
              <w:t>6</w:t>
            </w:r>
          </w:p>
        </w:tc>
        <w:tc>
          <w:tcPr>
            <w:tcW w:w="1474" w:type="dxa"/>
            <w:tcBorders>
              <w:top w:val="nil"/>
              <w:left w:val="nil"/>
              <w:bottom w:val="single" w:sz="4" w:space="0" w:color="auto"/>
              <w:right w:val="single" w:sz="4" w:space="0" w:color="auto"/>
            </w:tcBorders>
            <w:shd w:val="clear" w:color="auto" w:fill="auto"/>
            <w:vAlign w:val="center"/>
            <w:hideMark/>
          </w:tcPr>
          <w:p w14:paraId="598CE30E" w14:textId="77777777" w:rsidR="00217E5F" w:rsidRPr="007F03BF" w:rsidRDefault="00217E5F" w:rsidP="00FB7E72">
            <w:pPr>
              <w:jc w:val="center"/>
              <w:rPr>
                <w:rFonts w:ascii="Arial" w:hAnsi="Arial" w:cs="Arial"/>
                <w:b/>
                <w:bCs/>
                <w:color w:val="000000"/>
                <w:sz w:val="20"/>
                <w:szCs w:val="20"/>
              </w:rPr>
            </w:pPr>
            <w:r w:rsidRPr="007F03BF">
              <w:rPr>
                <w:rFonts w:ascii="Arial" w:hAnsi="Arial" w:cs="Arial"/>
                <w:b/>
                <w:bCs/>
                <w:color w:val="000000"/>
                <w:sz w:val="20"/>
                <w:szCs w:val="20"/>
              </w:rPr>
              <w:t>20</w:t>
            </w:r>
          </w:p>
        </w:tc>
        <w:tc>
          <w:tcPr>
            <w:tcW w:w="1627" w:type="dxa"/>
            <w:tcBorders>
              <w:top w:val="nil"/>
              <w:left w:val="nil"/>
              <w:bottom w:val="single" w:sz="4" w:space="0" w:color="auto"/>
              <w:right w:val="single" w:sz="4" w:space="0" w:color="auto"/>
            </w:tcBorders>
            <w:shd w:val="clear" w:color="auto" w:fill="auto"/>
            <w:vAlign w:val="center"/>
            <w:hideMark/>
          </w:tcPr>
          <w:p w14:paraId="0CEF6894" w14:textId="77777777" w:rsidR="00217E5F" w:rsidRPr="007F03BF" w:rsidRDefault="00217E5F" w:rsidP="00FB7E72">
            <w:pPr>
              <w:jc w:val="center"/>
              <w:rPr>
                <w:rFonts w:ascii="Arial" w:hAnsi="Arial" w:cs="Arial"/>
                <w:b/>
                <w:bCs/>
                <w:color w:val="000000"/>
                <w:sz w:val="20"/>
                <w:szCs w:val="20"/>
              </w:rPr>
            </w:pPr>
            <w:r w:rsidRPr="007F03BF">
              <w:rPr>
                <w:rFonts w:ascii="Arial" w:hAnsi="Arial" w:cs="Arial"/>
                <w:b/>
                <w:bCs/>
                <w:color w:val="000000"/>
                <w:sz w:val="20"/>
                <w:szCs w:val="20"/>
              </w:rPr>
              <w:t>2</w:t>
            </w:r>
          </w:p>
        </w:tc>
        <w:tc>
          <w:tcPr>
            <w:tcW w:w="1618" w:type="dxa"/>
            <w:tcBorders>
              <w:top w:val="nil"/>
              <w:left w:val="nil"/>
              <w:bottom w:val="single" w:sz="4" w:space="0" w:color="auto"/>
              <w:right w:val="single" w:sz="4" w:space="0" w:color="auto"/>
            </w:tcBorders>
            <w:shd w:val="clear" w:color="auto" w:fill="auto"/>
            <w:vAlign w:val="center"/>
            <w:hideMark/>
          </w:tcPr>
          <w:p w14:paraId="578BBD19" w14:textId="77777777" w:rsidR="00217E5F" w:rsidRPr="007F03BF" w:rsidRDefault="00217E5F" w:rsidP="00FB7E72">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0</w:t>
            </w:r>
          </w:p>
        </w:tc>
      </w:tr>
    </w:tbl>
    <w:p w14:paraId="5094D194" w14:textId="77777777" w:rsidR="00217E5F" w:rsidRPr="007F03BF" w:rsidRDefault="00217E5F" w:rsidP="00217E5F">
      <w:pPr>
        <w:spacing w:line="360" w:lineRule="auto"/>
        <w:contextualSpacing/>
        <w:jc w:val="both"/>
        <w:rPr>
          <w:rFonts w:ascii="Arial" w:hAnsi="Arial" w:cs="Arial"/>
          <w:color w:val="000000" w:themeColor="text1"/>
        </w:rPr>
      </w:pPr>
      <w:r w:rsidRPr="007F03BF">
        <w:rPr>
          <w:rFonts w:ascii="Arial" w:hAnsi="Arial" w:cs="Arial"/>
          <w:noProof/>
          <w:color w:val="000000" w:themeColor="text1"/>
          <w:sz w:val="20"/>
          <w:szCs w:val="20"/>
        </w:rPr>
        <w:drawing>
          <wp:anchor distT="0" distB="0" distL="114300" distR="114300" simplePos="0" relativeHeight="251659264" behindDoc="0" locked="0" layoutInCell="1" allowOverlap="1" wp14:anchorId="2A7A97A6" wp14:editId="3C1879CC">
            <wp:simplePos x="0" y="0"/>
            <wp:positionH relativeFrom="column">
              <wp:posOffset>1905</wp:posOffset>
            </wp:positionH>
            <wp:positionV relativeFrom="paragraph">
              <wp:posOffset>262890</wp:posOffset>
            </wp:positionV>
            <wp:extent cx="5887720" cy="2624455"/>
            <wp:effectExtent l="0" t="0" r="17780" b="17145"/>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p>
    <w:p w14:paraId="7838FF8B" w14:textId="77777777"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p>
    <w:p w14:paraId="3DB05D19" w14:textId="77777777" w:rsidR="00217E5F" w:rsidRPr="007F03BF" w:rsidRDefault="00217E5F" w:rsidP="00217E5F">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lastRenderedPageBreak/>
        <w:t>Por ámbito, el promedio de cumplimento registró los siguientes resultados en el porcentaje de las obligaciones que debían atender: 97.37% el ámbito de la Administración Central, 72.66% al ámbito de Órganos Desconcentrados, Fondos y Fideicomisos, 94.92% a las Demarcaciones Territoriales, 99.10% del Poder Legislativo, 98.34% de los Órganos Autónomos y 97.26% de Sindicatos.</w:t>
      </w:r>
    </w:p>
    <w:p w14:paraId="31F06D9C" w14:textId="77777777" w:rsidR="00636E21" w:rsidRPr="007F03BF" w:rsidRDefault="00636E21" w:rsidP="00DC1BCA">
      <w:pPr>
        <w:autoSpaceDE w:val="0"/>
        <w:autoSpaceDN w:val="0"/>
        <w:adjustRightInd w:val="0"/>
        <w:spacing w:line="360" w:lineRule="auto"/>
        <w:contextualSpacing/>
        <w:jc w:val="both"/>
        <w:rPr>
          <w:rFonts w:ascii="Arial" w:hAnsi="Arial" w:cs="Arial"/>
          <w:color w:val="000000" w:themeColor="text1"/>
        </w:rPr>
      </w:pPr>
    </w:p>
    <w:tbl>
      <w:tblPr>
        <w:tblW w:w="8818" w:type="dxa"/>
        <w:tblCellMar>
          <w:left w:w="70" w:type="dxa"/>
          <w:right w:w="70" w:type="dxa"/>
        </w:tblCellMar>
        <w:tblLook w:val="04A0" w:firstRow="1" w:lastRow="0" w:firstColumn="1" w:lastColumn="0" w:noHBand="0" w:noVBand="1"/>
      </w:tblPr>
      <w:tblGrid>
        <w:gridCol w:w="3064"/>
        <w:gridCol w:w="2028"/>
        <w:gridCol w:w="2028"/>
        <w:gridCol w:w="1698"/>
      </w:tblGrid>
      <w:tr w:rsidR="00636E21" w:rsidRPr="007F03BF" w14:paraId="27CF1BC9" w14:textId="77777777" w:rsidTr="008C4FD7">
        <w:trPr>
          <w:trHeight w:val="320"/>
          <w:tblHeader/>
        </w:trPr>
        <w:tc>
          <w:tcPr>
            <w:tcW w:w="3064" w:type="dxa"/>
            <w:tcBorders>
              <w:top w:val="single" w:sz="8" w:space="0" w:color="000000"/>
              <w:left w:val="single" w:sz="8" w:space="0" w:color="000000"/>
              <w:bottom w:val="single" w:sz="8" w:space="0" w:color="000000"/>
              <w:right w:val="single" w:sz="8" w:space="0" w:color="000000"/>
            </w:tcBorders>
            <w:shd w:val="clear" w:color="auto" w:fill="70AD47" w:themeFill="accent6"/>
            <w:vAlign w:val="center"/>
            <w:hideMark/>
          </w:tcPr>
          <w:p w14:paraId="6FA9D83B" w14:textId="77777777" w:rsidR="00636E21" w:rsidRPr="007F03BF" w:rsidRDefault="00636E21" w:rsidP="00636E21">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Ámbito de Gobierno</w:t>
            </w:r>
          </w:p>
        </w:tc>
        <w:tc>
          <w:tcPr>
            <w:tcW w:w="2028" w:type="dxa"/>
            <w:tcBorders>
              <w:top w:val="single" w:sz="8" w:space="0" w:color="000000"/>
              <w:left w:val="single" w:sz="8" w:space="0" w:color="CCCCCC"/>
              <w:bottom w:val="single" w:sz="8" w:space="0" w:color="000000"/>
              <w:right w:val="single" w:sz="8" w:space="0" w:color="000000"/>
            </w:tcBorders>
            <w:shd w:val="clear" w:color="auto" w:fill="70AD47" w:themeFill="accent6"/>
            <w:vAlign w:val="center"/>
            <w:hideMark/>
          </w:tcPr>
          <w:p w14:paraId="61D9321D" w14:textId="77777777" w:rsidR="00636E21" w:rsidRPr="007F03BF" w:rsidRDefault="00636E21" w:rsidP="00636E21">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2° Evaluación 2019 ICP</w:t>
            </w:r>
          </w:p>
        </w:tc>
        <w:tc>
          <w:tcPr>
            <w:tcW w:w="2028" w:type="dxa"/>
            <w:tcBorders>
              <w:top w:val="single" w:sz="8" w:space="0" w:color="000000"/>
              <w:left w:val="single" w:sz="8" w:space="0" w:color="CCCCCC"/>
              <w:bottom w:val="single" w:sz="8" w:space="0" w:color="000000"/>
              <w:right w:val="single" w:sz="8" w:space="0" w:color="000000"/>
            </w:tcBorders>
            <w:shd w:val="clear" w:color="auto" w:fill="70AD47" w:themeFill="accent6"/>
            <w:vAlign w:val="center"/>
            <w:hideMark/>
          </w:tcPr>
          <w:p w14:paraId="646464EA" w14:textId="77777777" w:rsidR="00636E21" w:rsidRPr="007F03BF" w:rsidRDefault="00636E21" w:rsidP="00636E21">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1° Evaluación 2020 ICP</w:t>
            </w:r>
          </w:p>
        </w:tc>
        <w:tc>
          <w:tcPr>
            <w:tcW w:w="1698" w:type="dxa"/>
            <w:tcBorders>
              <w:top w:val="single" w:sz="8" w:space="0" w:color="000000"/>
              <w:left w:val="single" w:sz="8" w:space="0" w:color="CCCCCC"/>
              <w:bottom w:val="single" w:sz="8" w:space="0" w:color="000000"/>
              <w:right w:val="single" w:sz="8" w:space="0" w:color="000000"/>
            </w:tcBorders>
            <w:shd w:val="clear" w:color="auto" w:fill="70AD47" w:themeFill="accent6"/>
            <w:vAlign w:val="center"/>
          </w:tcPr>
          <w:p w14:paraId="7A8051CD" w14:textId="77777777" w:rsidR="00636E21" w:rsidRPr="007F03BF" w:rsidRDefault="00636E21" w:rsidP="00636E21">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636E21" w:rsidRPr="007F03BF" w14:paraId="124939E3" w14:textId="77777777" w:rsidTr="00636E21">
        <w:trPr>
          <w:trHeight w:val="320"/>
        </w:trPr>
        <w:tc>
          <w:tcPr>
            <w:tcW w:w="3064"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4F69C0AA" w14:textId="77777777" w:rsidR="00636E21" w:rsidRPr="007F03BF" w:rsidRDefault="00636E21" w:rsidP="00636E21">
            <w:pPr>
              <w:rPr>
                <w:rFonts w:ascii="Arial" w:hAnsi="Arial" w:cs="Arial"/>
                <w:color w:val="000000" w:themeColor="text1"/>
                <w:sz w:val="20"/>
                <w:szCs w:val="20"/>
              </w:rPr>
            </w:pPr>
            <w:r w:rsidRPr="007F03BF">
              <w:rPr>
                <w:rFonts w:ascii="Arial" w:hAnsi="Arial" w:cs="Arial"/>
                <w:color w:val="000000" w:themeColor="text1"/>
                <w:sz w:val="20"/>
                <w:szCs w:val="20"/>
              </w:rPr>
              <w:t>Poder Ejecutivo - Administración Pública Centralizada</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27112103"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96.23</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572C2F1A"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97.37</w:t>
            </w:r>
          </w:p>
        </w:tc>
        <w:tc>
          <w:tcPr>
            <w:tcW w:w="1698" w:type="dxa"/>
            <w:tcBorders>
              <w:top w:val="single" w:sz="8" w:space="0" w:color="CCCCCC"/>
              <w:left w:val="single" w:sz="8" w:space="0" w:color="CCCCCC"/>
              <w:bottom w:val="single" w:sz="8" w:space="0" w:color="000000"/>
              <w:right w:val="single" w:sz="8" w:space="0" w:color="000000"/>
            </w:tcBorders>
            <w:vAlign w:val="center"/>
          </w:tcPr>
          <w:p w14:paraId="5517EF6E"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1.14</w:t>
            </w:r>
          </w:p>
        </w:tc>
      </w:tr>
      <w:tr w:rsidR="00636E21" w:rsidRPr="007F03BF" w14:paraId="4876DD75" w14:textId="77777777" w:rsidTr="00636E21">
        <w:trPr>
          <w:trHeight w:val="600"/>
        </w:trPr>
        <w:tc>
          <w:tcPr>
            <w:tcW w:w="3064"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1E3E74A9" w14:textId="77777777" w:rsidR="00636E21" w:rsidRPr="007F03BF" w:rsidRDefault="00636E21" w:rsidP="00636E21">
            <w:pPr>
              <w:rPr>
                <w:rFonts w:ascii="Arial" w:hAnsi="Arial" w:cs="Arial"/>
                <w:color w:val="000000" w:themeColor="text1"/>
                <w:sz w:val="20"/>
                <w:szCs w:val="20"/>
              </w:rPr>
            </w:pPr>
            <w:r w:rsidRPr="007F03BF">
              <w:rPr>
                <w:rFonts w:ascii="Arial" w:hAnsi="Arial" w:cs="Arial"/>
                <w:color w:val="000000" w:themeColor="text1"/>
                <w:sz w:val="20"/>
                <w:szCs w:val="20"/>
              </w:rPr>
              <w:t xml:space="preserve">Poder </w:t>
            </w:r>
            <w:proofErr w:type="spellStart"/>
            <w:r w:rsidRPr="007F03BF">
              <w:rPr>
                <w:rFonts w:ascii="Arial" w:hAnsi="Arial" w:cs="Arial"/>
                <w:color w:val="000000" w:themeColor="text1"/>
                <w:sz w:val="20"/>
                <w:szCs w:val="20"/>
              </w:rPr>
              <w:t>Ejcutivo</w:t>
            </w:r>
            <w:proofErr w:type="spellEnd"/>
            <w:r w:rsidRPr="007F03BF">
              <w:rPr>
                <w:rFonts w:ascii="Arial" w:hAnsi="Arial" w:cs="Arial"/>
                <w:color w:val="000000" w:themeColor="text1"/>
                <w:sz w:val="20"/>
                <w:szCs w:val="20"/>
              </w:rPr>
              <w:t xml:space="preserve"> - Desconcentrados y Paraestatales Descentralizados, Auxiliares</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5D0E3DE7"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66.72</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06699DD7"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72.66</w:t>
            </w:r>
          </w:p>
        </w:tc>
        <w:tc>
          <w:tcPr>
            <w:tcW w:w="1698" w:type="dxa"/>
            <w:tcBorders>
              <w:top w:val="single" w:sz="8" w:space="0" w:color="CCCCCC"/>
              <w:left w:val="single" w:sz="8" w:space="0" w:color="CCCCCC"/>
              <w:bottom w:val="single" w:sz="8" w:space="0" w:color="000000"/>
              <w:right w:val="single" w:sz="8" w:space="0" w:color="000000"/>
            </w:tcBorders>
            <w:vAlign w:val="center"/>
          </w:tcPr>
          <w:p w14:paraId="1CD8E932"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5.94</w:t>
            </w:r>
          </w:p>
        </w:tc>
      </w:tr>
      <w:tr w:rsidR="00636E21" w:rsidRPr="007F03BF" w14:paraId="7CD2FA52" w14:textId="77777777" w:rsidTr="00636E21">
        <w:trPr>
          <w:trHeight w:val="320"/>
        </w:trPr>
        <w:tc>
          <w:tcPr>
            <w:tcW w:w="3064"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131AB77C" w14:textId="77777777" w:rsidR="00636E21" w:rsidRPr="007F03BF" w:rsidRDefault="00636E21" w:rsidP="00636E21">
            <w:pPr>
              <w:rPr>
                <w:rFonts w:ascii="Arial" w:hAnsi="Arial" w:cs="Arial"/>
                <w:color w:val="000000" w:themeColor="text1"/>
                <w:sz w:val="20"/>
                <w:szCs w:val="20"/>
              </w:rPr>
            </w:pPr>
            <w:r w:rsidRPr="007F03BF">
              <w:rPr>
                <w:rFonts w:ascii="Arial" w:hAnsi="Arial" w:cs="Arial"/>
                <w:color w:val="000000" w:themeColor="text1"/>
                <w:sz w:val="20"/>
                <w:szCs w:val="20"/>
              </w:rPr>
              <w:t>Poder Ejecutivo - Demarcaciones Territoriales / Alcaldías</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02FDCBB2"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87.89</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5D7C0F41"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94.92</w:t>
            </w:r>
          </w:p>
        </w:tc>
        <w:tc>
          <w:tcPr>
            <w:tcW w:w="1698" w:type="dxa"/>
            <w:tcBorders>
              <w:top w:val="single" w:sz="8" w:space="0" w:color="CCCCCC"/>
              <w:left w:val="single" w:sz="8" w:space="0" w:color="CCCCCC"/>
              <w:bottom w:val="single" w:sz="8" w:space="0" w:color="000000"/>
              <w:right w:val="single" w:sz="8" w:space="0" w:color="000000"/>
            </w:tcBorders>
            <w:vAlign w:val="center"/>
          </w:tcPr>
          <w:p w14:paraId="7B62152B"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7.03</w:t>
            </w:r>
          </w:p>
        </w:tc>
      </w:tr>
      <w:tr w:rsidR="00636E21" w:rsidRPr="007F03BF" w14:paraId="55B3EFE2" w14:textId="77777777" w:rsidTr="00636E21">
        <w:trPr>
          <w:trHeight w:val="320"/>
        </w:trPr>
        <w:tc>
          <w:tcPr>
            <w:tcW w:w="3064"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44DA049D" w14:textId="77777777" w:rsidR="00636E21" w:rsidRPr="007F03BF" w:rsidRDefault="00636E21" w:rsidP="00636E21">
            <w:pPr>
              <w:rPr>
                <w:rFonts w:ascii="Arial" w:hAnsi="Arial" w:cs="Arial"/>
                <w:color w:val="000000" w:themeColor="text1"/>
                <w:sz w:val="20"/>
                <w:szCs w:val="20"/>
              </w:rPr>
            </w:pPr>
            <w:r w:rsidRPr="007F03BF">
              <w:rPr>
                <w:rFonts w:ascii="Arial" w:hAnsi="Arial" w:cs="Arial"/>
                <w:color w:val="000000" w:themeColor="text1"/>
                <w:sz w:val="20"/>
                <w:szCs w:val="20"/>
              </w:rPr>
              <w:t>Poder Legislativo</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7AEFD95E"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95.03</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5E72DF49"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99.1</w:t>
            </w:r>
          </w:p>
        </w:tc>
        <w:tc>
          <w:tcPr>
            <w:tcW w:w="1698" w:type="dxa"/>
            <w:tcBorders>
              <w:top w:val="single" w:sz="8" w:space="0" w:color="CCCCCC"/>
              <w:left w:val="single" w:sz="8" w:space="0" w:color="CCCCCC"/>
              <w:bottom w:val="single" w:sz="8" w:space="0" w:color="000000"/>
              <w:right w:val="single" w:sz="8" w:space="0" w:color="000000"/>
            </w:tcBorders>
            <w:vAlign w:val="center"/>
          </w:tcPr>
          <w:p w14:paraId="77ECE256"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4.07</w:t>
            </w:r>
          </w:p>
        </w:tc>
      </w:tr>
      <w:tr w:rsidR="00636E21" w:rsidRPr="007F03BF" w14:paraId="521A83FF" w14:textId="77777777" w:rsidTr="00636E21">
        <w:trPr>
          <w:trHeight w:val="320"/>
        </w:trPr>
        <w:tc>
          <w:tcPr>
            <w:tcW w:w="3064"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730687A4" w14:textId="77777777" w:rsidR="00636E21" w:rsidRPr="007F03BF" w:rsidRDefault="00636E21" w:rsidP="00636E21">
            <w:pPr>
              <w:rPr>
                <w:rFonts w:ascii="Arial" w:hAnsi="Arial" w:cs="Arial"/>
                <w:color w:val="000000" w:themeColor="text1"/>
                <w:sz w:val="20"/>
                <w:szCs w:val="20"/>
              </w:rPr>
            </w:pPr>
            <w:r w:rsidRPr="007F03BF">
              <w:rPr>
                <w:rFonts w:ascii="Arial" w:hAnsi="Arial" w:cs="Arial"/>
                <w:color w:val="000000" w:themeColor="text1"/>
                <w:sz w:val="20"/>
                <w:szCs w:val="20"/>
              </w:rPr>
              <w:t>Órganos Autónomos</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5C8E96E9"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96.24</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65405E0E"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98.34</w:t>
            </w:r>
          </w:p>
        </w:tc>
        <w:tc>
          <w:tcPr>
            <w:tcW w:w="1698" w:type="dxa"/>
            <w:tcBorders>
              <w:top w:val="single" w:sz="8" w:space="0" w:color="CCCCCC"/>
              <w:left w:val="single" w:sz="8" w:space="0" w:color="CCCCCC"/>
              <w:bottom w:val="single" w:sz="8" w:space="0" w:color="000000"/>
              <w:right w:val="single" w:sz="8" w:space="0" w:color="000000"/>
            </w:tcBorders>
            <w:vAlign w:val="center"/>
          </w:tcPr>
          <w:p w14:paraId="71653120"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2.1</w:t>
            </w:r>
          </w:p>
        </w:tc>
      </w:tr>
      <w:tr w:rsidR="00636E21" w:rsidRPr="007F03BF" w14:paraId="03E350CD" w14:textId="77777777" w:rsidTr="00636E21">
        <w:trPr>
          <w:trHeight w:val="320"/>
        </w:trPr>
        <w:tc>
          <w:tcPr>
            <w:tcW w:w="3064"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5E46B2B7" w14:textId="77777777" w:rsidR="00636E21" w:rsidRPr="007F03BF" w:rsidRDefault="00636E21" w:rsidP="00636E21">
            <w:pPr>
              <w:rPr>
                <w:rFonts w:ascii="Arial" w:hAnsi="Arial" w:cs="Arial"/>
                <w:color w:val="000000" w:themeColor="text1"/>
                <w:sz w:val="20"/>
                <w:szCs w:val="20"/>
              </w:rPr>
            </w:pPr>
            <w:r w:rsidRPr="007F03BF">
              <w:rPr>
                <w:rFonts w:ascii="Arial" w:hAnsi="Arial" w:cs="Arial"/>
                <w:color w:val="000000" w:themeColor="text1"/>
                <w:sz w:val="20"/>
                <w:szCs w:val="20"/>
              </w:rPr>
              <w:t>Sindicatos</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5942F198"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87.2</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783B2942"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97.26</w:t>
            </w:r>
          </w:p>
        </w:tc>
        <w:tc>
          <w:tcPr>
            <w:tcW w:w="1698" w:type="dxa"/>
            <w:tcBorders>
              <w:top w:val="single" w:sz="8" w:space="0" w:color="CCCCCC"/>
              <w:left w:val="single" w:sz="8" w:space="0" w:color="CCCCCC"/>
              <w:bottom w:val="single" w:sz="8" w:space="0" w:color="000000"/>
              <w:right w:val="single" w:sz="8" w:space="0" w:color="000000"/>
            </w:tcBorders>
            <w:vAlign w:val="center"/>
          </w:tcPr>
          <w:p w14:paraId="10AACF67" w14:textId="77777777" w:rsidR="00636E21" w:rsidRPr="007F03BF" w:rsidRDefault="00636E21" w:rsidP="00636E21">
            <w:pPr>
              <w:jc w:val="center"/>
              <w:rPr>
                <w:rFonts w:ascii="Arial" w:hAnsi="Arial" w:cs="Arial"/>
                <w:color w:val="000000"/>
                <w:sz w:val="20"/>
                <w:szCs w:val="20"/>
              </w:rPr>
            </w:pPr>
            <w:r w:rsidRPr="007F03BF">
              <w:rPr>
                <w:rFonts w:ascii="Arial" w:hAnsi="Arial" w:cs="Arial"/>
                <w:color w:val="000000"/>
                <w:sz w:val="20"/>
                <w:szCs w:val="20"/>
              </w:rPr>
              <w:t>10.06</w:t>
            </w:r>
          </w:p>
        </w:tc>
      </w:tr>
    </w:tbl>
    <w:p w14:paraId="429F8CA8" w14:textId="77777777" w:rsidR="00DC1BCA" w:rsidRPr="007F03BF" w:rsidRDefault="00DC1BCA" w:rsidP="00DC1BCA">
      <w:pPr>
        <w:autoSpaceDE w:val="0"/>
        <w:autoSpaceDN w:val="0"/>
        <w:adjustRightInd w:val="0"/>
        <w:spacing w:line="360" w:lineRule="auto"/>
        <w:contextualSpacing/>
        <w:jc w:val="both"/>
        <w:rPr>
          <w:rFonts w:ascii="Arial" w:hAnsi="Arial" w:cs="Arial"/>
          <w:color w:val="000000" w:themeColor="text1"/>
        </w:rPr>
      </w:pPr>
    </w:p>
    <w:p w14:paraId="7DE3EE1B" w14:textId="77777777" w:rsidR="001A6622" w:rsidRPr="007F03BF" w:rsidRDefault="00DC1BCA" w:rsidP="001A6622">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noProof/>
          <w:color w:val="000000" w:themeColor="text1"/>
          <w:shd w:val="clear" w:color="auto" w:fill="70AD47" w:themeFill="accent6"/>
        </w:rPr>
        <w:drawing>
          <wp:inline distT="0" distB="0" distL="0" distR="0" wp14:anchorId="12054D52" wp14:editId="7073FDD4">
            <wp:extent cx="5486400" cy="3200400"/>
            <wp:effectExtent l="0" t="0" r="12700" b="1270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C328349" w14:textId="77777777" w:rsidR="00443C3B" w:rsidRPr="007F03BF" w:rsidRDefault="00443C3B" w:rsidP="00443C3B">
      <w:pPr>
        <w:contextualSpacing/>
        <w:rPr>
          <w:rFonts w:ascii="Arial" w:hAnsi="Arial" w:cs="Arial"/>
          <w:color w:val="000000" w:themeColor="text1"/>
        </w:rPr>
      </w:pPr>
      <w:r w:rsidRPr="007F03BF">
        <w:rPr>
          <w:rFonts w:ascii="Arial" w:hAnsi="Arial" w:cs="Arial"/>
          <w:color w:val="000000" w:themeColor="text1"/>
        </w:rPr>
        <w:br w:type="page"/>
      </w:r>
    </w:p>
    <w:p w14:paraId="28E35C91" w14:textId="77777777" w:rsidR="00443C3B" w:rsidRPr="007F03BF" w:rsidRDefault="00443C3B" w:rsidP="00443C3B">
      <w:pPr>
        <w:pStyle w:val="Ttulo1"/>
        <w:contextualSpacing/>
        <w:jc w:val="center"/>
        <w:rPr>
          <w:rFonts w:ascii="Arial" w:hAnsi="Arial" w:cs="Arial"/>
          <w:b/>
          <w:color w:val="auto"/>
          <w:sz w:val="24"/>
        </w:rPr>
      </w:pPr>
      <w:bookmarkStart w:id="5" w:name="_Toc23252961"/>
      <w:bookmarkStart w:id="6" w:name="_Toc39683991"/>
      <w:r w:rsidRPr="007F03BF">
        <w:rPr>
          <w:rFonts w:ascii="Arial" w:hAnsi="Arial" w:cs="Arial"/>
          <w:b/>
          <w:color w:val="auto"/>
          <w:sz w:val="24"/>
        </w:rPr>
        <w:lastRenderedPageBreak/>
        <w:t>SÍNTESIS DE LOS ARTÍCULOS DE LAS OBLIGACIONES DE TRANSPARENCIA ANALIZADOS</w:t>
      </w:r>
      <w:bookmarkEnd w:id="5"/>
      <w:bookmarkEnd w:id="6"/>
    </w:p>
    <w:p w14:paraId="3562E05F"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2D46711B" w14:textId="6623A7D1" w:rsidR="00443C3B" w:rsidRPr="007F03BF" w:rsidRDefault="00443C3B" w:rsidP="00443C3B">
      <w:pPr>
        <w:pStyle w:val="Ttulo2"/>
        <w:contextualSpacing/>
        <w:rPr>
          <w:rFonts w:ascii="Arial" w:hAnsi="Arial" w:cs="Arial"/>
          <w:b/>
        </w:rPr>
      </w:pPr>
      <w:bookmarkStart w:id="7" w:name="_Toc23252962"/>
      <w:bookmarkStart w:id="8" w:name="_Toc39683992"/>
      <w:r w:rsidRPr="007F03BF">
        <w:rPr>
          <w:rFonts w:ascii="Arial" w:hAnsi="Arial" w:cs="Arial"/>
          <w:b/>
          <w:color w:val="auto"/>
          <w:sz w:val="24"/>
        </w:rPr>
        <w:t xml:space="preserve">Obligaciones Comunes de la Ley </w:t>
      </w:r>
      <w:r w:rsidR="00D47F3C" w:rsidRPr="007F03BF">
        <w:rPr>
          <w:rFonts w:ascii="Arial" w:hAnsi="Arial" w:cs="Arial"/>
          <w:b/>
          <w:color w:val="auto"/>
          <w:sz w:val="24"/>
        </w:rPr>
        <w:t>local</w:t>
      </w:r>
      <w:r w:rsidRPr="007F03BF">
        <w:rPr>
          <w:rFonts w:ascii="Arial" w:hAnsi="Arial" w:cs="Arial"/>
          <w:b/>
          <w:color w:val="auto"/>
          <w:sz w:val="24"/>
        </w:rPr>
        <w:t xml:space="preserve"> de Transparencia</w:t>
      </w:r>
      <w:bookmarkEnd w:id="7"/>
      <w:bookmarkEnd w:id="8"/>
    </w:p>
    <w:p w14:paraId="026DF56D" w14:textId="77777777" w:rsidR="00443C3B" w:rsidRPr="007F03BF" w:rsidRDefault="00443C3B" w:rsidP="00443C3B">
      <w:pPr>
        <w:autoSpaceDE w:val="0"/>
        <w:autoSpaceDN w:val="0"/>
        <w:adjustRightInd w:val="0"/>
        <w:spacing w:line="360" w:lineRule="auto"/>
        <w:contextualSpacing/>
        <w:jc w:val="both"/>
        <w:rPr>
          <w:rFonts w:ascii="Arial" w:hAnsi="Arial" w:cs="Arial"/>
          <w:b/>
        </w:rPr>
      </w:pPr>
    </w:p>
    <w:p w14:paraId="4F6CF731"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Las obligaciones comunes son aquellas que le son aplicables a todos los sujetos obligados, sin importar su naturaleza; debido a que refieren información que todo sujeto obligado genera, posee, utiliza y resguarda. </w:t>
      </w:r>
    </w:p>
    <w:p w14:paraId="2253ED2B"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08BE575A" w14:textId="28F48B71" w:rsidR="00443C3B" w:rsidRPr="007F03BF" w:rsidRDefault="00C6090F" w:rsidP="00443C3B">
      <w:pPr>
        <w:autoSpaceDE w:val="0"/>
        <w:autoSpaceDN w:val="0"/>
        <w:adjustRightInd w:val="0"/>
        <w:spacing w:line="360" w:lineRule="auto"/>
        <w:contextualSpacing/>
        <w:jc w:val="both"/>
        <w:rPr>
          <w:rFonts w:ascii="Arial" w:hAnsi="Arial" w:cs="Arial"/>
        </w:rPr>
      </w:pPr>
      <w:r w:rsidRPr="007F03BF">
        <w:rPr>
          <w:rFonts w:ascii="Arial" w:hAnsi="Arial" w:cs="Arial"/>
        </w:rPr>
        <w:t>Dichas obligaciones, se encuentra</w:t>
      </w:r>
      <w:r w:rsidR="00D47F3C" w:rsidRPr="007F03BF">
        <w:rPr>
          <w:rFonts w:ascii="Arial" w:hAnsi="Arial" w:cs="Arial"/>
        </w:rPr>
        <w:t>n</w:t>
      </w:r>
      <w:r w:rsidRPr="007F03BF">
        <w:rPr>
          <w:rFonts w:ascii="Arial" w:hAnsi="Arial" w:cs="Arial"/>
        </w:rPr>
        <w:t xml:space="preserve"> consagradas en el</w:t>
      </w:r>
      <w:r w:rsidR="00443C3B" w:rsidRPr="007F03BF">
        <w:rPr>
          <w:rFonts w:ascii="Arial" w:hAnsi="Arial" w:cs="Arial"/>
        </w:rPr>
        <w:t xml:space="preserve"> artículo 121 de la </w:t>
      </w:r>
      <w:r w:rsidRPr="007F03BF">
        <w:rPr>
          <w:rFonts w:ascii="Arial" w:hAnsi="Arial" w:cs="Arial"/>
        </w:rPr>
        <w:t xml:space="preserve">Ley </w:t>
      </w:r>
      <w:r w:rsidR="00D47F3C" w:rsidRPr="007F03BF">
        <w:rPr>
          <w:rFonts w:ascii="Arial" w:hAnsi="Arial" w:cs="Arial"/>
        </w:rPr>
        <w:t>local</w:t>
      </w:r>
      <w:r w:rsidRPr="007F03BF">
        <w:rPr>
          <w:rFonts w:ascii="Arial" w:hAnsi="Arial" w:cs="Arial"/>
        </w:rPr>
        <w:t xml:space="preserve"> de</w:t>
      </w:r>
      <w:r w:rsidR="00443C3B" w:rsidRPr="007F03BF">
        <w:rPr>
          <w:rFonts w:ascii="Arial" w:hAnsi="Arial" w:cs="Arial"/>
        </w:rPr>
        <w:t xml:space="preserve"> </w:t>
      </w:r>
      <w:r w:rsidRPr="007F03BF">
        <w:rPr>
          <w:rFonts w:ascii="Arial" w:hAnsi="Arial" w:cs="Arial"/>
        </w:rPr>
        <w:t>T</w:t>
      </w:r>
      <w:r w:rsidR="00443C3B" w:rsidRPr="007F03BF">
        <w:rPr>
          <w:rFonts w:ascii="Arial" w:hAnsi="Arial" w:cs="Arial"/>
        </w:rPr>
        <w:t>ransparencia</w:t>
      </w:r>
      <w:r w:rsidRPr="007F03BF">
        <w:rPr>
          <w:rFonts w:ascii="Arial" w:hAnsi="Arial" w:cs="Arial"/>
        </w:rPr>
        <w:t>, integrado por</w:t>
      </w:r>
      <w:r w:rsidR="00443C3B" w:rsidRPr="007F03BF">
        <w:rPr>
          <w:rFonts w:ascii="Arial" w:hAnsi="Arial" w:cs="Arial"/>
        </w:rPr>
        <w:t xml:space="preserve"> 54 fracciones, en las que se mandata la publicación de información como el marco normativo, estructura orgánica, facultades y funciones de cada área, metas y objetivos de </w:t>
      </w:r>
      <w:r w:rsidR="00D47F3C" w:rsidRPr="007F03BF">
        <w:rPr>
          <w:rFonts w:ascii="Arial" w:hAnsi="Arial" w:cs="Arial"/>
        </w:rPr>
        <w:t>cada</w:t>
      </w:r>
      <w:r w:rsidR="00443C3B" w:rsidRPr="007F03BF">
        <w:rPr>
          <w:rFonts w:ascii="Arial" w:hAnsi="Arial" w:cs="Arial"/>
        </w:rPr>
        <w:t xml:space="preserve"> áreas, indicadores, programas operativos anuales, el directorio, la remuneración de los servidores públicos, </w:t>
      </w:r>
      <w:r w:rsidR="00D771DB" w:rsidRPr="007F03BF">
        <w:rPr>
          <w:rFonts w:ascii="Arial" w:hAnsi="Arial" w:cs="Arial"/>
        </w:rPr>
        <w:t>vi</w:t>
      </w:r>
      <w:r w:rsidR="00E846CB" w:rsidRPr="007F03BF">
        <w:rPr>
          <w:rFonts w:ascii="Arial" w:hAnsi="Arial" w:cs="Arial"/>
        </w:rPr>
        <w:t>á</w:t>
      </w:r>
      <w:r w:rsidR="00D771DB" w:rsidRPr="007F03BF">
        <w:rPr>
          <w:rFonts w:ascii="Arial" w:hAnsi="Arial" w:cs="Arial"/>
        </w:rPr>
        <w:t xml:space="preserve">ticos y gastos de </w:t>
      </w:r>
      <w:r w:rsidR="00E846CB" w:rsidRPr="007F03BF">
        <w:rPr>
          <w:rFonts w:ascii="Arial" w:hAnsi="Arial" w:cs="Arial"/>
        </w:rPr>
        <w:t>representación</w:t>
      </w:r>
      <w:r w:rsidR="00D771DB" w:rsidRPr="007F03BF">
        <w:rPr>
          <w:rFonts w:ascii="Arial" w:hAnsi="Arial" w:cs="Arial"/>
        </w:rPr>
        <w:t xml:space="preserve">, </w:t>
      </w:r>
      <w:r w:rsidR="00443C3B" w:rsidRPr="007F03BF">
        <w:rPr>
          <w:rFonts w:ascii="Arial" w:hAnsi="Arial" w:cs="Arial"/>
        </w:rPr>
        <w:t xml:space="preserve">el número total de plazas y tipo de estas, las contrataciones por servicios profesionales, las declaraciones patrimoniales, domicilio de la unidad de transparencia, </w:t>
      </w:r>
      <w:r w:rsidR="00D771DB" w:rsidRPr="007F03BF">
        <w:rPr>
          <w:rFonts w:ascii="Arial" w:hAnsi="Arial" w:cs="Arial"/>
        </w:rPr>
        <w:t xml:space="preserve">condiciones generales de trabajo, </w:t>
      </w:r>
      <w:r w:rsidR="00443C3B" w:rsidRPr="007F03BF">
        <w:rPr>
          <w:rFonts w:ascii="Arial" w:hAnsi="Arial" w:cs="Arial"/>
        </w:rPr>
        <w:t>información de las personas servidoras públicas con sanciones administrativas, información financiera sobre el presupuesto asignado, dictámenes de cuenta pública, los contratos y convenios celebrados, información sobre los procedimientos de adjudicación directa, invitación restringida y licitaciones</w:t>
      </w:r>
      <w:r w:rsidR="00D771DB" w:rsidRPr="007F03BF">
        <w:rPr>
          <w:rFonts w:ascii="Arial" w:hAnsi="Arial" w:cs="Arial"/>
        </w:rPr>
        <w:t xml:space="preserve">, </w:t>
      </w:r>
      <w:r w:rsidR="00D771DB" w:rsidRPr="007F03BF">
        <w:t xml:space="preserve"> </w:t>
      </w:r>
      <w:r w:rsidR="00D771DB" w:rsidRPr="007F03BF">
        <w:rPr>
          <w:rFonts w:ascii="Arial" w:hAnsi="Arial" w:cs="Arial"/>
        </w:rPr>
        <w:t>informes de resultados de auditorías, dictámenes de cuenta pública así como estados financieros, padrón de proveedores y contratistas</w:t>
      </w:r>
      <w:r w:rsidR="00443C3B" w:rsidRPr="007F03BF">
        <w:rPr>
          <w:rFonts w:ascii="Arial" w:hAnsi="Arial" w:cs="Arial"/>
        </w:rPr>
        <w:t xml:space="preserve">; entre otros. </w:t>
      </w:r>
    </w:p>
    <w:p w14:paraId="0929CB2D"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236428A9"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El artículo 122 de la misma ley se integra por </w:t>
      </w:r>
      <w:r w:rsidR="00D71D7B" w:rsidRPr="007F03BF">
        <w:rPr>
          <w:rFonts w:ascii="Arial" w:hAnsi="Arial" w:cs="Arial"/>
        </w:rPr>
        <w:t>tres</w:t>
      </w:r>
      <w:r w:rsidRPr="007F03BF">
        <w:rPr>
          <w:rFonts w:ascii="Arial" w:hAnsi="Arial" w:cs="Arial"/>
        </w:rPr>
        <w:t xml:space="preserve"> fracciones en las cuales se señala la obligación de publicar información en materia de programas sociales, de ayuda, subsidios, estímulos y apoyos. </w:t>
      </w:r>
    </w:p>
    <w:p w14:paraId="54788E6B"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2FFC9376" w14:textId="45C1707D" w:rsidR="00443C3B" w:rsidRPr="007F03BF" w:rsidRDefault="00443C3B" w:rsidP="00443C3B">
      <w:pPr>
        <w:pStyle w:val="Ttulo2"/>
        <w:contextualSpacing/>
        <w:rPr>
          <w:rFonts w:ascii="Arial" w:hAnsi="Arial" w:cs="Arial"/>
          <w:b/>
          <w:color w:val="auto"/>
          <w:sz w:val="24"/>
        </w:rPr>
      </w:pPr>
      <w:bookmarkStart w:id="9" w:name="_Toc23252963"/>
      <w:bookmarkStart w:id="10" w:name="_Toc39683993"/>
      <w:r w:rsidRPr="007F03BF">
        <w:rPr>
          <w:rFonts w:ascii="Arial" w:hAnsi="Arial" w:cs="Arial"/>
          <w:b/>
          <w:color w:val="auto"/>
          <w:sz w:val="24"/>
        </w:rPr>
        <w:t xml:space="preserve">Obligaciones Específicas de la Ley </w:t>
      </w:r>
      <w:r w:rsidR="00D47F3C" w:rsidRPr="007F03BF">
        <w:rPr>
          <w:rFonts w:ascii="Arial" w:hAnsi="Arial" w:cs="Arial"/>
          <w:b/>
          <w:color w:val="auto"/>
          <w:sz w:val="24"/>
        </w:rPr>
        <w:t>local</w:t>
      </w:r>
      <w:r w:rsidRPr="007F03BF">
        <w:rPr>
          <w:rFonts w:ascii="Arial" w:hAnsi="Arial" w:cs="Arial"/>
          <w:b/>
          <w:color w:val="auto"/>
          <w:sz w:val="24"/>
        </w:rPr>
        <w:t xml:space="preserve"> de Transparencia</w:t>
      </w:r>
      <w:bookmarkEnd w:id="9"/>
      <w:bookmarkEnd w:id="10"/>
    </w:p>
    <w:p w14:paraId="07B1E1A0"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4E295CBD"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lastRenderedPageBreak/>
        <w:t>Las obligaciones específicas se integran por trece secciones y hacen referencia a la información que, dependiendo de la naturaleza de cada sujeto obligado, debe generar, poseer, utilizar y resguardar.</w:t>
      </w:r>
    </w:p>
    <w:p w14:paraId="23D79F8B"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22106C04" w14:textId="2E0A2D63"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La sección primera se integra por el artículo 123</w:t>
      </w:r>
      <w:r w:rsidRPr="007F03BF">
        <w:rPr>
          <w:rStyle w:val="Refdenotaalpie"/>
          <w:rFonts w:ascii="Arial" w:hAnsi="Arial" w:cs="Arial"/>
        </w:rPr>
        <w:footnoteReference w:id="1"/>
      </w:r>
      <w:r w:rsidRPr="007F03BF">
        <w:rPr>
          <w:rFonts w:ascii="Arial" w:hAnsi="Arial" w:cs="Arial"/>
        </w:rPr>
        <w:t xml:space="preserve"> y hace referencia a las obligaciones del Poder Ejecutivo; en ella se contemplan obligaciones consistentes en publicar las iniciativas de leyes o demás decretos en materia administrativa, el Programa General de Desarrollo de la Ciudad de México, el Presupuesto de Egresos y las fórmulas de distribución, el listado de expropiaciones decretadas y ejecutadas, el listado de patentes de corredores y notarios públicos, información detallada que contengan los planes de desarrollo urbano, reglamentos de leyes expedidos, los usos de suelo a través de mapas y planos, información sobre la calidad del agua, manifestaciones de impacto ambiental</w:t>
      </w:r>
      <w:r w:rsidR="00D771DB" w:rsidRPr="007F03BF">
        <w:rPr>
          <w:rFonts w:ascii="Arial" w:hAnsi="Arial" w:cs="Arial"/>
        </w:rPr>
        <w:t>,</w:t>
      </w:r>
      <w:r w:rsidRPr="007F03BF">
        <w:rPr>
          <w:rFonts w:ascii="Arial" w:hAnsi="Arial" w:cs="Arial"/>
        </w:rPr>
        <w:t xml:space="preserve"> estudios de la calidad del aire</w:t>
      </w:r>
      <w:r w:rsidR="00D771DB" w:rsidRPr="007F03BF">
        <w:rPr>
          <w:rFonts w:ascii="Arial" w:hAnsi="Arial" w:cs="Arial"/>
        </w:rPr>
        <w:t>, estadísticas e índices delictivos, reglamentos de las leyes expedidos en el ejercicio de sus atribuciones, listado de oficinas del Registro Civil en la Ciudad de México, entre otros</w:t>
      </w:r>
      <w:r w:rsidRPr="007F03BF">
        <w:rPr>
          <w:rFonts w:ascii="Arial" w:hAnsi="Arial" w:cs="Arial"/>
        </w:rPr>
        <w:t xml:space="preserve">. </w:t>
      </w:r>
    </w:p>
    <w:p w14:paraId="6B0CAB18"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600CA929" w14:textId="4E3538BB"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La sección segunda se conforma por el artículo 124 y hace referencia a los órganos político administrativos, alcaldías o demarcaciones territoriales; en esta sección se contemplan obligaciones consistentes en publicar los indicadores oficiales de los servicios públicos, el calendario con las actividades culturales, deportivas y recreativas, el calendario trimestral sobre el ejercicio del presupuesto, los programas de ayudas y subsidios, los gastos realizados por concepto de asesorías, el padrón de contralores ciudadanos, información respecto a la recolección de basura, el programa de Seguridad Pública,</w:t>
      </w:r>
      <w:r w:rsidR="009E75C5" w:rsidRPr="007F03BF">
        <w:rPr>
          <w:rFonts w:ascii="Arial" w:hAnsi="Arial" w:cs="Arial"/>
        </w:rPr>
        <w:t xml:space="preserve"> </w:t>
      </w:r>
      <w:r w:rsidRPr="007F03BF">
        <w:rPr>
          <w:rFonts w:ascii="Arial" w:hAnsi="Arial" w:cs="Arial"/>
        </w:rPr>
        <w:t xml:space="preserve"> </w:t>
      </w:r>
      <w:r w:rsidR="00D771DB" w:rsidRPr="007F03BF">
        <w:rPr>
          <w:rFonts w:ascii="Arial" w:hAnsi="Arial" w:cs="Arial"/>
        </w:rPr>
        <w:t xml:space="preserve">desglose del origen y destino de los recursos asignados, </w:t>
      </w:r>
      <w:r w:rsidRPr="007F03BF">
        <w:rPr>
          <w:rFonts w:ascii="Arial" w:hAnsi="Arial" w:cs="Arial"/>
        </w:rPr>
        <w:t xml:space="preserve">entre otros. </w:t>
      </w:r>
    </w:p>
    <w:p w14:paraId="60C26408"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1C847474" w14:textId="375F6E58"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lastRenderedPageBreak/>
        <w:t xml:space="preserve">La tercera sección se integra por el artículo 125 y hace referencia al Poder Legislativo; en esta se contemplan las obligaciones consistentes en publicar la ficha técnica por cada Diputado y Diputada, la agenda legislativa, gaceta parlamentaria, el orden del día de las Sesiones del Pleno, el Diario de Debates, las versiones estenográficas, las leyes, decretos y acuerdo aprobados, solicitudes de licencias, contrataciones de asesorías y servicios personales, el informe anual del gasto, el padrón de cabilderos, la lista de los integrantes del Comité de Adquisiciones, la descripción general del </w:t>
      </w:r>
      <w:r w:rsidR="00C6090F" w:rsidRPr="007F03BF">
        <w:rPr>
          <w:rFonts w:ascii="Arial" w:hAnsi="Arial" w:cs="Arial"/>
        </w:rPr>
        <w:t>P</w:t>
      </w:r>
      <w:r w:rsidRPr="007F03BF">
        <w:rPr>
          <w:rFonts w:ascii="Arial" w:hAnsi="Arial" w:cs="Arial"/>
        </w:rPr>
        <w:t xml:space="preserve">oder </w:t>
      </w:r>
      <w:r w:rsidR="00C6090F" w:rsidRPr="007F03BF">
        <w:rPr>
          <w:rFonts w:ascii="Arial" w:hAnsi="Arial" w:cs="Arial"/>
        </w:rPr>
        <w:t>L</w:t>
      </w:r>
      <w:r w:rsidRPr="007F03BF">
        <w:rPr>
          <w:rFonts w:ascii="Arial" w:hAnsi="Arial" w:cs="Arial"/>
        </w:rPr>
        <w:t xml:space="preserve">egislativo, entre otros. </w:t>
      </w:r>
    </w:p>
    <w:p w14:paraId="20744F0C"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29094F16" w14:textId="3F839714"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La sección cuarta versa sobre las obligaciones del Poder Judicial en materia de transparencia, y se integra por las disposiciones del artículo 126, apartado primero, que refiere las obligaciones del Tribunal Superior de Justicia y al </w:t>
      </w:r>
      <w:r w:rsidR="00C6090F" w:rsidRPr="007F03BF">
        <w:rPr>
          <w:rFonts w:ascii="Arial" w:hAnsi="Arial" w:cs="Arial"/>
        </w:rPr>
        <w:t>Tribunal de Justicia Administrativa</w:t>
      </w:r>
      <w:r w:rsidRPr="007F03BF">
        <w:rPr>
          <w:rFonts w:ascii="Arial" w:hAnsi="Arial" w:cs="Arial"/>
        </w:rPr>
        <w:t xml:space="preserve"> de la Ciudad de México y, apartado segundo, que contempla al Consejo de la Judicatura de la Ciudad de México. La información que se mandata publicar incluye la versión estenográfica de las Sesiones del Pleno, votación de los acuerdos sometidos a consideración del Pleno, estadística judicial, las resoluciones y expedientes judiciales y administrativos, carrera judicial, convocatorias, registro de aspirante</w:t>
      </w:r>
      <w:r w:rsidR="00D71D7B" w:rsidRPr="007F03BF">
        <w:rPr>
          <w:rFonts w:ascii="Arial" w:hAnsi="Arial" w:cs="Arial"/>
        </w:rPr>
        <w:t>s</w:t>
      </w:r>
      <w:r w:rsidRPr="007F03BF">
        <w:rPr>
          <w:rFonts w:ascii="Arial" w:hAnsi="Arial" w:cs="Arial"/>
        </w:rPr>
        <w:t>, inventario de los bienes muebles, el boletín judicial, las versiones públicas de la</w:t>
      </w:r>
      <w:r w:rsidR="00A84315" w:rsidRPr="007F03BF">
        <w:rPr>
          <w:rFonts w:ascii="Arial" w:hAnsi="Arial" w:cs="Arial"/>
        </w:rPr>
        <w:t>s</w:t>
      </w:r>
      <w:r w:rsidRPr="007F03BF">
        <w:rPr>
          <w:rFonts w:ascii="Arial" w:hAnsi="Arial" w:cs="Arial"/>
        </w:rPr>
        <w:t xml:space="preserve"> sentencias, entre otros. </w:t>
      </w:r>
    </w:p>
    <w:p w14:paraId="652BBCA8"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59F165AD"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La sección quinta se integra por el artículo 127 y refiere a la Auditoría Superior de la Ciudad de México, las obligaciones que contempla se refieren al Programa General de Auditoría, los resultados de las auditorías concluidas al ejercicio presupuestal, el avance trimestral en la ejecución de su programa general de auditoría, la información relativa a las </w:t>
      </w:r>
      <w:proofErr w:type="spellStart"/>
      <w:r w:rsidRPr="007F03BF">
        <w:rPr>
          <w:rFonts w:ascii="Arial" w:hAnsi="Arial" w:cs="Arial"/>
        </w:rPr>
        <w:t>solventaciones</w:t>
      </w:r>
      <w:proofErr w:type="spellEnd"/>
      <w:r w:rsidRPr="007F03BF">
        <w:rPr>
          <w:rFonts w:ascii="Arial" w:hAnsi="Arial" w:cs="Arial"/>
        </w:rPr>
        <w:t xml:space="preserve"> o aclaraciones de los resultados derivados de las auditorías concluidas, entre otros.</w:t>
      </w:r>
    </w:p>
    <w:p w14:paraId="1CD6863A"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6CE81385"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La sección sexta se integra por las disposiciones del artículo 128, que hace referencia a las autoridades electorales, y contempla los listados de partidos </w:t>
      </w:r>
      <w:r w:rsidRPr="007F03BF">
        <w:rPr>
          <w:rFonts w:ascii="Arial" w:hAnsi="Arial" w:cs="Arial"/>
        </w:rPr>
        <w:lastRenderedPageBreak/>
        <w:t>políticos, asociaciones y agrupaciones políticas, la geografía y cartografía electoral, el registro de candidatos a cargos de elección popular, los montos de financiamiento público por actividades ordinarias, de campaña y específicas, informes entregados a la autoridad electoral sobre el origen, monto y destino de los recursos, los resultados y declaraciones de validez de las elecciones, la información detallada de su estado financiero del uso y manejo de su presupuesto, entre otros.</w:t>
      </w:r>
    </w:p>
    <w:p w14:paraId="1E41B4DA"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59C3D973" w14:textId="6AF75774"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La séptima sección se integra por las disposiciones</w:t>
      </w:r>
      <w:r w:rsidR="00D771DB" w:rsidRPr="007F03BF">
        <w:rPr>
          <w:rFonts w:ascii="Arial" w:hAnsi="Arial" w:cs="Arial"/>
        </w:rPr>
        <w:t xml:space="preserve"> relacionadas con las organizaciones políticas, </w:t>
      </w:r>
      <w:r w:rsidRPr="007F03BF">
        <w:rPr>
          <w:rFonts w:ascii="Arial" w:hAnsi="Arial" w:cs="Arial"/>
        </w:rPr>
        <w:t>contempladas en los artículos 129, 130 y 131. El artículo 129 refiere a</w:t>
      </w:r>
      <w:r w:rsidR="009E75C5" w:rsidRPr="007F03BF">
        <w:rPr>
          <w:rFonts w:ascii="Arial" w:hAnsi="Arial" w:cs="Arial"/>
        </w:rPr>
        <w:t>l</w:t>
      </w:r>
      <w:r w:rsidRPr="007F03BF">
        <w:rPr>
          <w:rFonts w:ascii="Arial" w:hAnsi="Arial" w:cs="Arial"/>
        </w:rPr>
        <w:t xml:space="preserve"> padrón de afiliados o militantes de los partidos políticos, los acuerdos y resoluciones de los órganos de dirección de los partidos políticos, los convenios de participación entre partidos políticos con organizaciones de la sociedad civil, los montos de las cuotas ordinarias y extraordinarias aportadas por sus militantes así como también los montos autorizados de financiamiento privado, el tabulador de remuneraciones que perciben los integrantes de los órganos y de los demás funcionarios partidistas, informes sobre el gasto del financiamiento público ordinario, entre otros. Por su parte, el artículo 130 menciona que los partidos políticos deberán mantener actualizada la información que se detalle en la legislación electoral </w:t>
      </w:r>
      <w:r w:rsidR="00D47F3C" w:rsidRPr="007F03BF">
        <w:rPr>
          <w:rFonts w:ascii="Arial" w:hAnsi="Arial" w:cs="Arial"/>
        </w:rPr>
        <w:t>local</w:t>
      </w:r>
      <w:r w:rsidRPr="007F03BF">
        <w:rPr>
          <w:rFonts w:ascii="Arial" w:hAnsi="Arial" w:cs="Arial"/>
        </w:rPr>
        <w:t xml:space="preserve"> vigente. El artículo 131 menciona que, en caso de que los partidos políticos, las agrupaciones políticas y las personas morales constituidas en asociación civil que pretendan postular su candidatura independiente incumplan con las obligaciones establecidas en los artículos anteriormente referidos, el Instituto dará vista al órgano electoral </w:t>
      </w:r>
      <w:r w:rsidR="00D47F3C" w:rsidRPr="007F03BF">
        <w:rPr>
          <w:rFonts w:ascii="Arial" w:hAnsi="Arial" w:cs="Arial"/>
        </w:rPr>
        <w:t>local</w:t>
      </w:r>
      <w:r w:rsidRPr="007F03BF">
        <w:rPr>
          <w:rFonts w:ascii="Arial" w:hAnsi="Arial" w:cs="Arial"/>
        </w:rPr>
        <w:t xml:space="preserve"> para que determine las acciones o sanciones procedentes. </w:t>
      </w:r>
    </w:p>
    <w:p w14:paraId="4979EAD7"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653320AE" w14:textId="79D5AD66"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La sección octava se basa en el artículo 132, el cual refiere a la Comisión de Derechos Humanos; se mandata en ese artículo la publicación del listado y versiones públicas de las recomendaciones emitidas, las quejas y denuncias e impugnaciones concluidas, estadísticas sobre las quejas presentadas, acuerdos de conciliación, listado de medidas precautorias, toda información con la que cuente </w:t>
      </w:r>
      <w:r w:rsidRPr="007F03BF">
        <w:rPr>
          <w:rFonts w:ascii="Arial" w:hAnsi="Arial" w:cs="Arial"/>
        </w:rPr>
        <w:lastRenderedPageBreak/>
        <w:t xml:space="preserve">relacionada con hechos constitutivos de violaciones graves a los derechos humanos, información de acciones y resultados respecto de la defensa, promoción y protección de los derechos humanos, estado que guardan los derechos humanos en el sistema penitenciario, entre </w:t>
      </w:r>
      <w:r w:rsidR="00D771DB" w:rsidRPr="007F03BF">
        <w:rPr>
          <w:rFonts w:ascii="Arial" w:hAnsi="Arial" w:cs="Arial"/>
        </w:rPr>
        <w:t>otras obligaciones</w:t>
      </w:r>
      <w:r w:rsidRPr="007F03BF">
        <w:rPr>
          <w:rFonts w:ascii="Arial" w:hAnsi="Arial" w:cs="Arial"/>
        </w:rPr>
        <w:t xml:space="preserve">. </w:t>
      </w:r>
    </w:p>
    <w:p w14:paraId="7579A699"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56F9314B"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La sección novena se conforma por las disposiciones del artículo 133 y hace referencia al Instituto de Transparencia, Acceso a la Información Pública, Protección de Datos Personales y Rendición de Cuentas de la Ciudad de México. En esta sección se contempla que, además de lo señalado en las obligaciones de transparencia comunes, el Instituto deberá poner a disposición del público información referente a la relación de observaciones y resoluciones emitidas y el seguimiento a cada una de ellas, los criterios orientadores que deriven de sus resoluciones, estadísticas e indicadores sobre los medios de impugnación, los estudios que apoyan la resolución de los recursos de revisión, estadísticas sobre las solicitudes de información y datos personales, los resultados de la evaluación del cumplimiento de la Ley a los sujetos obligados, número de quejas, denuncias y recursos de revisión dirigidos a cada uno de los sujetos obligados, entre otros elementos.</w:t>
      </w:r>
    </w:p>
    <w:p w14:paraId="30E4F1E0"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5A1FD9DE" w14:textId="1532D6C9"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La sección décima se integra con los elementos previstos por el artículo 134, mismo que refiere a la Universidad Autónoma de la Ciudad de México. En esta sección se</w:t>
      </w:r>
      <w:r w:rsidR="00443947" w:rsidRPr="007F03BF">
        <w:rPr>
          <w:rFonts w:ascii="Arial" w:hAnsi="Arial" w:cs="Arial"/>
        </w:rPr>
        <w:t xml:space="preserve"> establece la obligación de publicar </w:t>
      </w:r>
      <w:r w:rsidRPr="007F03BF">
        <w:rPr>
          <w:rFonts w:ascii="Arial" w:hAnsi="Arial" w:cs="Arial"/>
        </w:rPr>
        <w:t xml:space="preserve">los planes y programas de estudio, los procedimientos de admisión, indicadores de resultados, lista de profesores con licencia, remuneración de los profesores, listados de becas y apoyos, evaluación del cuerpo docente, calendario del ciclo escolar, entre otros aspectos. </w:t>
      </w:r>
    </w:p>
    <w:p w14:paraId="12F5FC08"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01D28558"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La sección decimoprimera se conforma por las disposiciones previstas en los artículos 135 y 136, los cuales refieren a los Fideicomisos, Fondos Públicos y otros análogos. En el 135 se contempla el nombre de la persona servidora pública y de la </w:t>
      </w:r>
      <w:r w:rsidRPr="007F03BF">
        <w:rPr>
          <w:rFonts w:ascii="Arial" w:hAnsi="Arial" w:cs="Arial"/>
        </w:rPr>
        <w:lastRenderedPageBreak/>
        <w:t xml:space="preserve">persona física o moral que represente al fideicomitente, al fiduciario y al fideicomisario, la unidad administrativa responsable del fideicomiso, monto total, el uso y destino del patrimonio </w:t>
      </w:r>
      <w:proofErr w:type="spellStart"/>
      <w:r w:rsidRPr="007F03BF">
        <w:rPr>
          <w:rFonts w:ascii="Arial" w:hAnsi="Arial" w:cs="Arial"/>
        </w:rPr>
        <w:t>fideicomitido</w:t>
      </w:r>
      <w:proofErr w:type="spellEnd"/>
      <w:r w:rsidRPr="007F03BF">
        <w:rPr>
          <w:rFonts w:ascii="Arial" w:hAnsi="Arial" w:cs="Arial"/>
        </w:rPr>
        <w:t>, el padrón de beneficiarios en su caso, los contratos de obras, adquisiciones y servicios que involucren recursos públicos de fideicomiso, reglas de operación y normatividad interna del fideicomiso o fondo público, impacto social derivado del cumplimiento de las acciones que realiza el fideicomiso o fondo público, entre otros. Por otra parte, el artículo 136 indica que con relación a los contratos de mandato y otros actos jurídicos con los cuales los sujetos obligados otorguen representación jurídica, los sujetos obligados deberán mantener actualizada y para su consulta directa, cualquier tipo de instrucciones que el mandante exprese al mandatario o cualquier tipo de instrucciones relacionadas con el ejercicio de la facultad de representar, otorgada mediante otro acto jurídico.</w:t>
      </w:r>
    </w:p>
    <w:p w14:paraId="04522A8F"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5F375C28" w14:textId="5223BA2C"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La sección decimosegunda se conforma por el artículo 137 y hace referencia a la Junta </w:t>
      </w:r>
      <w:r w:rsidR="00D47F3C" w:rsidRPr="007F03BF">
        <w:rPr>
          <w:rFonts w:ascii="Arial" w:hAnsi="Arial" w:cs="Arial"/>
        </w:rPr>
        <w:t>local</w:t>
      </w:r>
      <w:r w:rsidRPr="007F03BF">
        <w:rPr>
          <w:rFonts w:ascii="Arial" w:hAnsi="Arial" w:cs="Arial"/>
        </w:rPr>
        <w:t xml:space="preserve"> de Conciliación y Arbitraje, </w:t>
      </w:r>
      <w:r w:rsidR="00BB3A84" w:rsidRPr="007F03BF">
        <w:rPr>
          <w:rFonts w:ascii="Arial" w:hAnsi="Arial" w:cs="Arial"/>
        </w:rPr>
        <w:t xml:space="preserve">y </w:t>
      </w:r>
      <w:r w:rsidRPr="007F03BF">
        <w:rPr>
          <w:rFonts w:ascii="Arial" w:hAnsi="Arial" w:cs="Arial"/>
        </w:rPr>
        <w:t>se contemplan obligaciones consistentes en publicar la relación de contratos colectivos de trabajo, los documentos de registro de los sindicatos</w:t>
      </w:r>
      <w:r w:rsidR="00443947" w:rsidRPr="007F03BF">
        <w:rPr>
          <w:rFonts w:ascii="Arial" w:hAnsi="Arial" w:cs="Arial"/>
        </w:rPr>
        <w:t>, entre otras</w:t>
      </w:r>
      <w:r w:rsidRPr="007F03BF">
        <w:rPr>
          <w:rFonts w:ascii="Arial" w:hAnsi="Arial" w:cs="Arial"/>
        </w:rPr>
        <w:t xml:space="preserve">. </w:t>
      </w:r>
    </w:p>
    <w:p w14:paraId="69D761CE"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06D0135A"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La sección decimotercera hace referencia a los Sindicatos y se integra por las disposiciones previstas en el artículo 138, el cual mandata la publicación de los contratos y convenios entre sindicatos y autoridades, el directorio del Comité Ejecutivo, el padrón de socios o agremiados y la relación detallada de los servicios de los recursos públicos económicos, en especie, bienes o donativos que reciban y el informe detallado del ejercicio y destino final de los recursos públicos que ejerzan. </w:t>
      </w:r>
    </w:p>
    <w:p w14:paraId="77830C4E"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797BF768" w14:textId="6664A643" w:rsidR="00443C3B" w:rsidRPr="007F03BF" w:rsidRDefault="00443C3B" w:rsidP="00443C3B">
      <w:pPr>
        <w:pStyle w:val="Ttulo2"/>
        <w:contextualSpacing/>
        <w:rPr>
          <w:rFonts w:ascii="Arial" w:hAnsi="Arial" w:cs="Arial"/>
          <w:b/>
          <w:color w:val="auto"/>
          <w:sz w:val="24"/>
        </w:rPr>
      </w:pPr>
      <w:bookmarkStart w:id="11" w:name="_Toc23252964"/>
      <w:bookmarkStart w:id="12" w:name="_Toc39683994"/>
      <w:r w:rsidRPr="007F03BF">
        <w:rPr>
          <w:rFonts w:ascii="Arial" w:hAnsi="Arial" w:cs="Arial"/>
          <w:b/>
          <w:color w:val="auto"/>
          <w:sz w:val="24"/>
        </w:rPr>
        <w:t xml:space="preserve">Disposiciones Particulares de la Ley </w:t>
      </w:r>
      <w:r w:rsidR="00D47F3C" w:rsidRPr="007F03BF">
        <w:rPr>
          <w:rFonts w:ascii="Arial" w:hAnsi="Arial" w:cs="Arial"/>
          <w:b/>
          <w:color w:val="auto"/>
          <w:sz w:val="24"/>
        </w:rPr>
        <w:t>local</w:t>
      </w:r>
      <w:r w:rsidRPr="007F03BF">
        <w:rPr>
          <w:rFonts w:ascii="Arial" w:hAnsi="Arial" w:cs="Arial"/>
          <w:b/>
          <w:color w:val="auto"/>
          <w:sz w:val="24"/>
        </w:rPr>
        <w:t xml:space="preserve"> de Transparencia</w:t>
      </w:r>
      <w:bookmarkEnd w:id="11"/>
      <w:bookmarkEnd w:id="12"/>
    </w:p>
    <w:p w14:paraId="23CF405A" w14:textId="77777777" w:rsidR="00443C3B" w:rsidRPr="007F03BF" w:rsidRDefault="00443C3B" w:rsidP="00443C3B">
      <w:pPr>
        <w:autoSpaceDE w:val="0"/>
        <w:autoSpaceDN w:val="0"/>
        <w:adjustRightInd w:val="0"/>
        <w:spacing w:line="360" w:lineRule="auto"/>
        <w:contextualSpacing/>
        <w:jc w:val="both"/>
        <w:rPr>
          <w:rFonts w:ascii="Arial" w:hAnsi="Arial" w:cs="Arial"/>
          <w:b/>
        </w:rPr>
      </w:pPr>
    </w:p>
    <w:p w14:paraId="60E48201"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Las disposiciones particulares son aquellas obligaciones que hacen referencia a la publicación de información complementaria a las obligaciones comunes y </w:t>
      </w:r>
      <w:r w:rsidRPr="007F03BF">
        <w:rPr>
          <w:rFonts w:ascii="Arial" w:hAnsi="Arial" w:cs="Arial"/>
        </w:rPr>
        <w:lastRenderedPageBreak/>
        <w:t xml:space="preserve">específicas. Estas disposiciones se integran por los preceptos contemplados en los siguientes artículos de la norma referida: </w:t>
      </w:r>
    </w:p>
    <w:p w14:paraId="395C3AE1"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224B8D67"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Artículos 141 y 142, que hacen referencia a los resultados de las convocatorias a concurso o licitación de obras públicas, adquisiciones, arrendamientos, concesiones y prestación de servicios. </w:t>
      </w:r>
    </w:p>
    <w:p w14:paraId="477C5CB8"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08FDD072"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Artículo 143, el cual versa sobre la información que brinden los sujetos obligados, en relación con la ejecución de obra pública por invitación restringida. </w:t>
      </w:r>
    </w:p>
    <w:p w14:paraId="0C32517A"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016C614F"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Artículo 144, el cual mandata que toda la información sea publicada en formatos abiertos y accesibles.</w:t>
      </w:r>
    </w:p>
    <w:p w14:paraId="35DDB8B7"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160413FC"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Artículo 145, que establece que todos los sujetos obligados deberán tener un acceso directo dentro de su Portal Institucional a sus obligaciones de transparencia.</w:t>
      </w:r>
    </w:p>
    <w:p w14:paraId="357F5EC6"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72639C8E" w14:textId="77777777"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 xml:space="preserve">Artículo 146, el cual mandata la publicación de su calendario de actualización de las obligaciones de transparencia. </w:t>
      </w:r>
    </w:p>
    <w:p w14:paraId="7279F07D"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4B0BE3D2" w14:textId="1FA9545A" w:rsidR="00443C3B" w:rsidRPr="007F03BF" w:rsidRDefault="00443C3B" w:rsidP="00443C3B">
      <w:pPr>
        <w:autoSpaceDE w:val="0"/>
        <w:autoSpaceDN w:val="0"/>
        <w:adjustRightInd w:val="0"/>
        <w:spacing w:line="360" w:lineRule="auto"/>
        <w:contextualSpacing/>
        <w:jc w:val="both"/>
        <w:rPr>
          <w:rFonts w:ascii="Arial" w:hAnsi="Arial" w:cs="Arial"/>
        </w:rPr>
      </w:pPr>
      <w:r w:rsidRPr="007F03BF">
        <w:rPr>
          <w:rFonts w:ascii="Arial" w:hAnsi="Arial" w:cs="Arial"/>
        </w:rPr>
        <w:t>Artículo 147, que señala que toda persona moral, organizaciones de la sociedad civil o sindicato que reciba recursos públicos</w:t>
      </w:r>
      <w:r w:rsidR="00C63547" w:rsidRPr="007F03BF">
        <w:rPr>
          <w:rFonts w:ascii="Arial" w:hAnsi="Arial" w:cs="Arial"/>
        </w:rPr>
        <w:t>,</w:t>
      </w:r>
      <w:r w:rsidRPr="007F03BF">
        <w:rPr>
          <w:rFonts w:ascii="Arial" w:hAnsi="Arial" w:cs="Arial"/>
        </w:rPr>
        <w:t xml:space="preserve"> deberá proporcionar a los sujetos obligados de los que reciban</w:t>
      </w:r>
      <w:r w:rsidR="00C63547" w:rsidRPr="007F03BF">
        <w:rPr>
          <w:rFonts w:ascii="Arial" w:hAnsi="Arial" w:cs="Arial"/>
        </w:rPr>
        <w:t>,</w:t>
      </w:r>
      <w:r w:rsidRPr="007F03BF">
        <w:rPr>
          <w:rFonts w:ascii="Arial" w:hAnsi="Arial" w:cs="Arial"/>
        </w:rPr>
        <w:t xml:space="preserve"> la información relativa al uso, destino y actividades que realicen con tales recursos.</w:t>
      </w:r>
    </w:p>
    <w:p w14:paraId="222FC53C" w14:textId="77777777" w:rsidR="00443C3B" w:rsidRPr="007F03BF" w:rsidRDefault="00443C3B" w:rsidP="00443C3B">
      <w:pPr>
        <w:autoSpaceDE w:val="0"/>
        <w:autoSpaceDN w:val="0"/>
        <w:adjustRightInd w:val="0"/>
        <w:spacing w:line="360" w:lineRule="auto"/>
        <w:contextualSpacing/>
        <w:jc w:val="both"/>
        <w:rPr>
          <w:rFonts w:ascii="Arial" w:hAnsi="Arial" w:cs="Arial"/>
        </w:rPr>
      </w:pPr>
    </w:p>
    <w:p w14:paraId="1DAE4F63" w14:textId="77777777" w:rsidR="00443C3B" w:rsidRPr="007F03BF" w:rsidRDefault="00443C3B" w:rsidP="00443C3B">
      <w:pPr>
        <w:spacing w:after="160" w:line="259" w:lineRule="auto"/>
        <w:rPr>
          <w:rFonts w:ascii="Arial" w:eastAsiaTheme="majorEastAsia" w:hAnsi="Arial" w:cs="Arial"/>
          <w:b/>
          <w:szCs w:val="32"/>
          <w:lang w:eastAsia="en-US"/>
        </w:rPr>
      </w:pPr>
      <w:r w:rsidRPr="007F03BF">
        <w:rPr>
          <w:rFonts w:ascii="Arial" w:hAnsi="Arial" w:cs="Arial"/>
          <w:b/>
        </w:rPr>
        <w:br w:type="page"/>
      </w:r>
    </w:p>
    <w:p w14:paraId="43285278" w14:textId="77777777" w:rsidR="00443C3B" w:rsidRPr="007F03BF" w:rsidRDefault="00443C3B" w:rsidP="001A6622">
      <w:pPr>
        <w:contextualSpacing/>
      </w:pPr>
    </w:p>
    <w:p w14:paraId="7CF0A6B3" w14:textId="77777777" w:rsidR="001A6622" w:rsidRPr="007F03BF" w:rsidRDefault="001A6622" w:rsidP="00FF7BD9">
      <w:pPr>
        <w:pStyle w:val="Ttulo1"/>
        <w:contextualSpacing/>
        <w:rPr>
          <w:rFonts w:ascii="Arial" w:hAnsi="Arial" w:cs="Arial"/>
          <w:b/>
          <w:color w:val="000000" w:themeColor="text1"/>
          <w:sz w:val="24"/>
          <w:szCs w:val="24"/>
        </w:rPr>
      </w:pPr>
      <w:bookmarkStart w:id="13" w:name="_Toc39683995"/>
      <w:r w:rsidRPr="007F03BF">
        <w:rPr>
          <w:rFonts w:ascii="Arial" w:hAnsi="Arial" w:cs="Arial"/>
          <w:b/>
          <w:color w:val="000000" w:themeColor="text1"/>
          <w:sz w:val="24"/>
          <w:szCs w:val="24"/>
        </w:rPr>
        <w:t>PODER EJECUTIVO – ADMINISTRACIÓN CENTRAL</w:t>
      </w:r>
      <w:bookmarkEnd w:id="13"/>
    </w:p>
    <w:p w14:paraId="37380A74" w14:textId="77777777" w:rsidR="001A6622" w:rsidRPr="007F03BF" w:rsidRDefault="001A6622" w:rsidP="001A6622">
      <w:pPr>
        <w:contextualSpacing/>
        <w:rPr>
          <w:rFonts w:ascii="Arial" w:hAnsi="Arial" w:cs="Arial"/>
          <w:color w:val="000000" w:themeColor="text1"/>
        </w:rPr>
      </w:pPr>
    </w:p>
    <w:p w14:paraId="7BF5CD7E" w14:textId="77777777" w:rsidR="00492936"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El ámbito del Poder Ejecutivo – Administración Central está integrado por 2</w:t>
      </w:r>
      <w:r w:rsidR="00492936" w:rsidRPr="007F03BF">
        <w:rPr>
          <w:rFonts w:ascii="Arial" w:hAnsi="Arial" w:cs="Arial"/>
          <w:color w:val="000000" w:themeColor="text1"/>
        </w:rPr>
        <w:t>2</w:t>
      </w:r>
      <w:r w:rsidRPr="007F03BF">
        <w:rPr>
          <w:rFonts w:ascii="Arial" w:hAnsi="Arial" w:cs="Arial"/>
          <w:color w:val="000000" w:themeColor="text1"/>
        </w:rPr>
        <w:t xml:space="preserve"> sujetos obligados, de conformidad con el Padrón de sujetos obligados supeditados al cumplimiento de la Ley de Transparencia, Acceso a la Información Pública y Rendición de Cuentas de la Ciudad de México</w:t>
      </w:r>
      <w:r w:rsidRPr="007F03BF" w:rsidDel="005B5D1B">
        <w:rPr>
          <w:rFonts w:ascii="Arial" w:hAnsi="Arial" w:cs="Arial"/>
          <w:color w:val="000000" w:themeColor="text1"/>
        </w:rPr>
        <w:t xml:space="preserve"> </w:t>
      </w:r>
      <w:r w:rsidRPr="007F03BF">
        <w:rPr>
          <w:rFonts w:ascii="Arial" w:hAnsi="Arial" w:cs="Arial"/>
          <w:color w:val="000000" w:themeColor="text1"/>
        </w:rPr>
        <w:t>y de la Ley de Protección de Datos Personales en Posesión de los sujetos obligados de la Ciudad de México vigente. De los 2</w:t>
      </w:r>
      <w:r w:rsidR="00492936" w:rsidRPr="007F03BF">
        <w:rPr>
          <w:rFonts w:ascii="Arial" w:hAnsi="Arial" w:cs="Arial"/>
          <w:color w:val="000000" w:themeColor="text1"/>
        </w:rPr>
        <w:t>2</w:t>
      </w:r>
      <w:r w:rsidRPr="007F03BF">
        <w:rPr>
          <w:rFonts w:ascii="Arial" w:hAnsi="Arial" w:cs="Arial"/>
          <w:color w:val="000000" w:themeColor="text1"/>
        </w:rPr>
        <w:t xml:space="preserve"> sujetos obligados que integran el Padrón, </w:t>
      </w:r>
      <w:r w:rsidR="00492936" w:rsidRPr="007F03BF">
        <w:rPr>
          <w:rFonts w:ascii="Arial" w:hAnsi="Arial" w:cs="Arial"/>
          <w:color w:val="000000" w:themeColor="text1"/>
        </w:rPr>
        <w:t xml:space="preserve">ocho </w:t>
      </w:r>
      <w:r w:rsidRPr="007F03BF">
        <w:rPr>
          <w:rFonts w:ascii="Arial" w:hAnsi="Arial" w:cs="Arial"/>
          <w:color w:val="000000" w:themeColor="text1"/>
        </w:rPr>
        <w:t>sujetos obligados</w:t>
      </w:r>
      <w:r w:rsidR="00492936" w:rsidRPr="007F03BF">
        <w:rPr>
          <w:rFonts w:ascii="Arial" w:hAnsi="Arial" w:cs="Arial"/>
          <w:color w:val="000000" w:themeColor="text1"/>
        </w:rPr>
        <w:t xml:space="preserve"> se integraron al Padrón durante el primer semestre del año 2019 y fueron </w:t>
      </w:r>
      <w:r w:rsidRPr="007F03BF">
        <w:rPr>
          <w:rFonts w:ascii="Arial" w:hAnsi="Arial" w:cs="Arial"/>
          <w:color w:val="000000" w:themeColor="text1"/>
        </w:rPr>
        <w:t>evaluados</w:t>
      </w:r>
      <w:r w:rsidR="00492936" w:rsidRPr="007F03BF">
        <w:rPr>
          <w:rFonts w:ascii="Arial" w:hAnsi="Arial" w:cs="Arial"/>
          <w:color w:val="000000" w:themeColor="text1"/>
        </w:rPr>
        <w:t xml:space="preserve"> durante la Segunda Evaluación Vinculante 2019. </w:t>
      </w:r>
    </w:p>
    <w:p w14:paraId="1FD9544F" w14:textId="77777777" w:rsidR="00492936" w:rsidRPr="007F03BF" w:rsidRDefault="00492936" w:rsidP="001A6622">
      <w:pPr>
        <w:spacing w:before="100" w:beforeAutospacing="1" w:after="100" w:afterAutospacing="1" w:line="360" w:lineRule="auto"/>
        <w:contextualSpacing/>
        <w:jc w:val="both"/>
        <w:rPr>
          <w:rFonts w:ascii="Arial" w:hAnsi="Arial" w:cs="Arial"/>
          <w:color w:val="000000" w:themeColor="text1"/>
        </w:rPr>
      </w:pPr>
    </w:p>
    <w:p w14:paraId="6F842626" w14:textId="6F5BF6CF" w:rsidR="001A6622" w:rsidRPr="007F03BF" w:rsidRDefault="00492936"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De los ocho sujetos obligado</w:t>
      </w:r>
      <w:r w:rsidR="00E846CB" w:rsidRPr="007F03BF">
        <w:rPr>
          <w:rFonts w:ascii="Arial" w:hAnsi="Arial" w:cs="Arial"/>
          <w:color w:val="000000" w:themeColor="text1"/>
        </w:rPr>
        <w:t>s</w:t>
      </w:r>
      <w:r w:rsidRPr="007F03BF">
        <w:rPr>
          <w:rFonts w:ascii="Arial" w:hAnsi="Arial" w:cs="Arial"/>
          <w:color w:val="000000" w:themeColor="text1"/>
        </w:rPr>
        <w:t xml:space="preserve"> que fueron evaluados, </w:t>
      </w:r>
      <w:r w:rsidR="00443947" w:rsidRPr="007F03BF">
        <w:rPr>
          <w:rFonts w:ascii="Arial" w:hAnsi="Arial" w:cs="Arial"/>
          <w:color w:val="000000" w:themeColor="text1"/>
        </w:rPr>
        <w:t xml:space="preserve">4 </w:t>
      </w:r>
      <w:r w:rsidRPr="007F03BF">
        <w:rPr>
          <w:rFonts w:ascii="Arial" w:hAnsi="Arial" w:cs="Arial"/>
          <w:color w:val="000000" w:themeColor="text1"/>
        </w:rPr>
        <w:t xml:space="preserve">obtuvieron un cumplimiento total del piso mínimo contemplado en la </w:t>
      </w:r>
      <w:r w:rsidR="001A6622" w:rsidRPr="007F03BF">
        <w:rPr>
          <w:rFonts w:ascii="Arial" w:hAnsi="Arial" w:cs="Arial"/>
          <w:color w:val="000000" w:themeColor="text1"/>
        </w:rPr>
        <w:t xml:space="preserve">Ley de Transparencia </w:t>
      </w:r>
      <w:r w:rsidR="00D47F3C" w:rsidRPr="007F03BF">
        <w:rPr>
          <w:rFonts w:ascii="Arial" w:hAnsi="Arial" w:cs="Arial"/>
          <w:color w:val="000000" w:themeColor="text1"/>
        </w:rPr>
        <w:t>local</w:t>
      </w:r>
      <w:r w:rsidRPr="007F03BF">
        <w:rPr>
          <w:rFonts w:ascii="Arial" w:hAnsi="Arial" w:cs="Arial"/>
          <w:color w:val="000000" w:themeColor="text1"/>
        </w:rPr>
        <w:t xml:space="preserve"> y cuatro continúan presentando áreas de oportunidad con relación a la publicación y actualización de la información. </w:t>
      </w:r>
    </w:p>
    <w:p w14:paraId="3BB87CA3" w14:textId="77777777" w:rsidR="00492936" w:rsidRPr="007F03BF" w:rsidRDefault="00492936" w:rsidP="001A6622">
      <w:pPr>
        <w:spacing w:before="100" w:beforeAutospacing="1" w:after="100" w:afterAutospacing="1" w:line="360" w:lineRule="auto"/>
        <w:contextualSpacing/>
        <w:jc w:val="both"/>
        <w:rPr>
          <w:rFonts w:ascii="Arial" w:hAnsi="Arial" w:cs="Arial"/>
          <w:color w:val="000000" w:themeColor="text1"/>
        </w:rPr>
      </w:pPr>
    </w:p>
    <w:p w14:paraId="2F92445F"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Los sujetos obligados, así como su Índice de Cumplimiento de obligaciones de transparencia del Portal de Internet (IGOT-PI), el de la Plataforma Nacional de Transparencia (IGOT-PNT) y el Índice General de Cumplimiento de obligaciones de transparencia (IGOT) se presentan en la siguiente tabla, ordenados de forma descendente, respecto del IGOT: </w:t>
      </w:r>
    </w:p>
    <w:p w14:paraId="1955AB1C"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tbl>
      <w:tblPr>
        <w:tblW w:w="8926" w:type="dxa"/>
        <w:tblCellMar>
          <w:left w:w="70" w:type="dxa"/>
          <w:right w:w="70" w:type="dxa"/>
        </w:tblCellMar>
        <w:tblLook w:val="04A0" w:firstRow="1" w:lastRow="0" w:firstColumn="1" w:lastColumn="0" w:noHBand="0" w:noVBand="1"/>
      </w:tblPr>
      <w:tblGrid>
        <w:gridCol w:w="529"/>
        <w:gridCol w:w="5136"/>
        <w:gridCol w:w="1123"/>
        <w:gridCol w:w="1263"/>
        <w:gridCol w:w="875"/>
      </w:tblGrid>
      <w:tr w:rsidR="001A6622" w:rsidRPr="007F03BF" w14:paraId="2B086322" w14:textId="77777777" w:rsidTr="008C4FD7">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0692064D" w14:textId="77777777" w:rsidR="001A6622" w:rsidRPr="007F03BF" w:rsidRDefault="001A6622" w:rsidP="00FF7BD9">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 xml:space="preserve">Resultados de la </w:t>
            </w:r>
            <w:r w:rsidR="00492936" w:rsidRPr="007F03BF">
              <w:rPr>
                <w:rFonts w:ascii="Arial" w:hAnsi="Arial" w:cs="Arial"/>
                <w:b/>
                <w:bCs/>
                <w:color w:val="000000" w:themeColor="text1"/>
                <w:sz w:val="20"/>
                <w:szCs w:val="20"/>
              </w:rPr>
              <w:t xml:space="preserve">Primera </w:t>
            </w:r>
            <w:r w:rsidRPr="007F03BF">
              <w:rPr>
                <w:rFonts w:ascii="Arial" w:hAnsi="Arial" w:cs="Arial"/>
                <w:b/>
                <w:bCs/>
                <w:color w:val="000000" w:themeColor="text1"/>
                <w:sz w:val="20"/>
                <w:szCs w:val="20"/>
              </w:rPr>
              <w:t>Evaluación Vinculante 20</w:t>
            </w:r>
            <w:r w:rsidR="00492936" w:rsidRPr="007F03BF">
              <w:rPr>
                <w:rFonts w:ascii="Arial" w:hAnsi="Arial" w:cs="Arial"/>
                <w:b/>
                <w:bCs/>
                <w:color w:val="000000" w:themeColor="text1"/>
                <w:sz w:val="20"/>
                <w:szCs w:val="20"/>
              </w:rPr>
              <w:t>20</w:t>
            </w:r>
            <w:r w:rsidRPr="007F03BF">
              <w:rPr>
                <w:rFonts w:ascii="Arial" w:hAnsi="Arial" w:cs="Arial"/>
                <w:b/>
                <w:bCs/>
                <w:color w:val="000000" w:themeColor="text1"/>
                <w:sz w:val="20"/>
                <w:szCs w:val="20"/>
              </w:rPr>
              <w:t xml:space="preserve">, respecto de las recomendaciones y observaciones de la </w:t>
            </w:r>
            <w:r w:rsidR="00492936" w:rsidRPr="007F03BF">
              <w:rPr>
                <w:rFonts w:ascii="Arial" w:hAnsi="Arial" w:cs="Arial"/>
                <w:b/>
                <w:bCs/>
                <w:color w:val="000000" w:themeColor="text1"/>
                <w:sz w:val="20"/>
                <w:szCs w:val="20"/>
              </w:rPr>
              <w:t>Segunda Evaluación Vinculante</w:t>
            </w:r>
            <w:r w:rsidRPr="007F03BF">
              <w:rPr>
                <w:rFonts w:ascii="Arial" w:hAnsi="Arial" w:cs="Arial"/>
                <w:b/>
                <w:bCs/>
                <w:color w:val="000000" w:themeColor="text1"/>
                <w:sz w:val="20"/>
                <w:szCs w:val="20"/>
              </w:rPr>
              <w:t xml:space="preserve"> 20</w:t>
            </w:r>
            <w:r w:rsidR="00492936" w:rsidRPr="007F03BF">
              <w:rPr>
                <w:rFonts w:ascii="Arial" w:hAnsi="Arial" w:cs="Arial"/>
                <w:b/>
                <w:bCs/>
                <w:color w:val="000000" w:themeColor="text1"/>
                <w:sz w:val="20"/>
                <w:szCs w:val="20"/>
              </w:rPr>
              <w:t>19</w:t>
            </w:r>
          </w:p>
        </w:tc>
      </w:tr>
      <w:tr w:rsidR="001A6622" w:rsidRPr="007F03BF" w14:paraId="4491AFA1" w14:textId="77777777" w:rsidTr="008C4FD7">
        <w:trPr>
          <w:trHeight w:val="340"/>
          <w:tblHeader/>
        </w:trPr>
        <w:tc>
          <w:tcPr>
            <w:tcW w:w="529" w:type="dxa"/>
            <w:tcBorders>
              <w:top w:val="nil"/>
              <w:left w:val="single" w:sz="4" w:space="0" w:color="auto"/>
              <w:bottom w:val="single" w:sz="4" w:space="0" w:color="auto"/>
              <w:right w:val="single" w:sz="4" w:space="0" w:color="auto"/>
            </w:tcBorders>
            <w:shd w:val="clear" w:color="auto" w:fill="70AD47" w:themeFill="accent6"/>
            <w:vAlign w:val="center"/>
            <w:hideMark/>
          </w:tcPr>
          <w:p w14:paraId="7BCFDACD" w14:textId="77777777" w:rsidR="001A6622" w:rsidRPr="007F03BF" w:rsidRDefault="001A6622" w:rsidP="00FF7BD9">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No.</w:t>
            </w:r>
          </w:p>
        </w:tc>
        <w:tc>
          <w:tcPr>
            <w:tcW w:w="5136" w:type="dxa"/>
            <w:tcBorders>
              <w:top w:val="nil"/>
              <w:left w:val="nil"/>
              <w:bottom w:val="single" w:sz="4" w:space="0" w:color="auto"/>
              <w:right w:val="single" w:sz="4" w:space="0" w:color="auto"/>
            </w:tcBorders>
            <w:shd w:val="clear" w:color="auto" w:fill="70AD47" w:themeFill="accent6"/>
            <w:vAlign w:val="center"/>
            <w:hideMark/>
          </w:tcPr>
          <w:p w14:paraId="7009E74D" w14:textId="77777777" w:rsidR="001A6622" w:rsidRPr="007F03BF" w:rsidRDefault="001A6622" w:rsidP="00FF7BD9">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Sujeto obligado</w:t>
            </w:r>
          </w:p>
        </w:tc>
        <w:tc>
          <w:tcPr>
            <w:tcW w:w="1123" w:type="dxa"/>
            <w:tcBorders>
              <w:top w:val="nil"/>
              <w:left w:val="nil"/>
              <w:bottom w:val="single" w:sz="4" w:space="0" w:color="auto"/>
              <w:right w:val="single" w:sz="4" w:space="0" w:color="auto"/>
            </w:tcBorders>
            <w:shd w:val="clear" w:color="auto" w:fill="70AD47" w:themeFill="accent6"/>
            <w:vAlign w:val="center"/>
            <w:hideMark/>
          </w:tcPr>
          <w:p w14:paraId="46FB667D" w14:textId="77777777" w:rsidR="001A6622" w:rsidRPr="007F03BF" w:rsidRDefault="001A6622" w:rsidP="00FF7BD9">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ICOT-PI</w:t>
            </w:r>
          </w:p>
        </w:tc>
        <w:tc>
          <w:tcPr>
            <w:tcW w:w="1263" w:type="dxa"/>
            <w:tcBorders>
              <w:top w:val="nil"/>
              <w:left w:val="nil"/>
              <w:bottom w:val="single" w:sz="4" w:space="0" w:color="auto"/>
              <w:right w:val="single" w:sz="4" w:space="0" w:color="auto"/>
            </w:tcBorders>
            <w:shd w:val="clear" w:color="auto" w:fill="70AD47" w:themeFill="accent6"/>
            <w:vAlign w:val="center"/>
            <w:hideMark/>
          </w:tcPr>
          <w:p w14:paraId="3597AA71" w14:textId="77777777" w:rsidR="001A6622" w:rsidRPr="007F03BF" w:rsidRDefault="001A6622" w:rsidP="00FF7BD9">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ICOT-PNT</w:t>
            </w:r>
          </w:p>
        </w:tc>
        <w:tc>
          <w:tcPr>
            <w:tcW w:w="875" w:type="dxa"/>
            <w:tcBorders>
              <w:top w:val="nil"/>
              <w:left w:val="nil"/>
              <w:bottom w:val="single" w:sz="4" w:space="0" w:color="auto"/>
              <w:right w:val="single" w:sz="4" w:space="0" w:color="auto"/>
            </w:tcBorders>
            <w:shd w:val="clear" w:color="auto" w:fill="70AD47" w:themeFill="accent6"/>
            <w:vAlign w:val="center"/>
            <w:hideMark/>
          </w:tcPr>
          <w:p w14:paraId="16729382" w14:textId="77777777" w:rsidR="001A6622" w:rsidRPr="007F03BF" w:rsidRDefault="001A6622" w:rsidP="00FF7BD9">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IGOT</w:t>
            </w:r>
          </w:p>
        </w:tc>
      </w:tr>
      <w:tr w:rsidR="00492936" w:rsidRPr="007F03BF" w14:paraId="383C9C44" w14:textId="77777777" w:rsidTr="0049293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240B7F51" w14:textId="77777777" w:rsidR="00492936" w:rsidRPr="007F03BF" w:rsidRDefault="00492936" w:rsidP="00492936">
            <w:pPr>
              <w:jc w:val="both"/>
              <w:rPr>
                <w:rFonts w:ascii="Arial" w:hAnsi="Arial" w:cs="Arial"/>
                <w:color w:val="000000"/>
                <w:sz w:val="20"/>
                <w:szCs w:val="20"/>
              </w:rPr>
            </w:pPr>
            <w:r w:rsidRPr="007F03BF">
              <w:rPr>
                <w:rFonts w:ascii="Arial" w:hAnsi="Arial" w:cs="Arial"/>
                <w:color w:val="000000"/>
                <w:sz w:val="20"/>
                <w:szCs w:val="20"/>
              </w:rPr>
              <w:t>1</w:t>
            </w:r>
          </w:p>
        </w:tc>
        <w:tc>
          <w:tcPr>
            <w:tcW w:w="5136" w:type="dxa"/>
            <w:tcBorders>
              <w:top w:val="nil"/>
              <w:left w:val="nil"/>
              <w:bottom w:val="single" w:sz="4" w:space="0" w:color="auto"/>
              <w:right w:val="single" w:sz="4" w:space="0" w:color="auto"/>
            </w:tcBorders>
            <w:shd w:val="clear" w:color="auto" w:fill="auto"/>
            <w:vAlign w:val="center"/>
            <w:hideMark/>
          </w:tcPr>
          <w:p w14:paraId="6820195F" w14:textId="77777777" w:rsidR="00492936" w:rsidRPr="007F03BF" w:rsidRDefault="00492936" w:rsidP="00492936">
            <w:pPr>
              <w:jc w:val="both"/>
              <w:rPr>
                <w:rFonts w:ascii="Arial" w:hAnsi="Arial" w:cs="Arial"/>
                <w:color w:val="000000"/>
                <w:sz w:val="20"/>
                <w:szCs w:val="20"/>
              </w:rPr>
            </w:pPr>
            <w:r w:rsidRPr="007F03BF">
              <w:rPr>
                <w:rFonts w:ascii="Arial" w:hAnsi="Arial" w:cs="Arial"/>
                <w:color w:val="000000"/>
                <w:sz w:val="20"/>
                <w:szCs w:val="20"/>
              </w:rPr>
              <w:t>Secretaría de Educación, Ciencia, Tecnología e Innovación.</w:t>
            </w:r>
          </w:p>
        </w:tc>
        <w:tc>
          <w:tcPr>
            <w:tcW w:w="1123" w:type="dxa"/>
            <w:tcBorders>
              <w:top w:val="nil"/>
              <w:left w:val="nil"/>
              <w:bottom w:val="single" w:sz="4" w:space="0" w:color="auto"/>
              <w:right w:val="single" w:sz="4" w:space="0" w:color="auto"/>
            </w:tcBorders>
            <w:shd w:val="clear" w:color="auto" w:fill="auto"/>
            <w:vAlign w:val="center"/>
            <w:hideMark/>
          </w:tcPr>
          <w:p w14:paraId="327A2E46" w14:textId="77777777" w:rsidR="00492936" w:rsidRPr="007F03BF" w:rsidRDefault="00492936" w:rsidP="00492936">
            <w:pPr>
              <w:jc w:val="center"/>
              <w:rPr>
                <w:rFonts w:ascii="Calibri" w:hAnsi="Calibri" w:cs="Calibri"/>
                <w:color w:val="000000"/>
                <w:sz w:val="22"/>
                <w:szCs w:val="22"/>
              </w:rPr>
            </w:pPr>
            <w:r w:rsidRPr="007F03BF">
              <w:rPr>
                <w:rFonts w:ascii="Calibri" w:hAnsi="Calibri" w:cs="Calibri"/>
                <w:color w:val="000000"/>
                <w:sz w:val="22"/>
                <w:szCs w:val="22"/>
              </w:rPr>
              <w:t>100.00</w:t>
            </w:r>
          </w:p>
        </w:tc>
        <w:tc>
          <w:tcPr>
            <w:tcW w:w="1263" w:type="dxa"/>
            <w:tcBorders>
              <w:top w:val="nil"/>
              <w:left w:val="nil"/>
              <w:bottom w:val="single" w:sz="4" w:space="0" w:color="auto"/>
              <w:right w:val="single" w:sz="4" w:space="0" w:color="auto"/>
            </w:tcBorders>
            <w:shd w:val="clear" w:color="auto" w:fill="auto"/>
            <w:vAlign w:val="center"/>
            <w:hideMark/>
          </w:tcPr>
          <w:p w14:paraId="144E0854" w14:textId="77777777" w:rsidR="00492936" w:rsidRPr="007F03BF" w:rsidRDefault="00492936" w:rsidP="00492936">
            <w:pPr>
              <w:jc w:val="center"/>
              <w:rPr>
                <w:rFonts w:ascii="Calibri" w:hAnsi="Calibri" w:cs="Calibri"/>
                <w:color w:val="000000"/>
                <w:sz w:val="22"/>
                <w:szCs w:val="22"/>
              </w:rPr>
            </w:pPr>
            <w:r w:rsidRPr="007F03BF">
              <w:rPr>
                <w:rFonts w:ascii="Calibri" w:hAnsi="Calibri" w:cs="Calibri"/>
                <w:color w:val="000000"/>
                <w:sz w:val="22"/>
                <w:szCs w:val="22"/>
              </w:rPr>
              <w:t>100.00</w:t>
            </w:r>
          </w:p>
        </w:tc>
        <w:tc>
          <w:tcPr>
            <w:tcW w:w="875" w:type="dxa"/>
            <w:tcBorders>
              <w:top w:val="nil"/>
              <w:left w:val="nil"/>
              <w:bottom w:val="single" w:sz="4" w:space="0" w:color="auto"/>
              <w:right w:val="single" w:sz="4" w:space="0" w:color="auto"/>
            </w:tcBorders>
            <w:shd w:val="clear" w:color="auto" w:fill="auto"/>
            <w:vAlign w:val="center"/>
            <w:hideMark/>
          </w:tcPr>
          <w:p w14:paraId="10A22A47" w14:textId="77777777" w:rsidR="00492936" w:rsidRPr="007F03BF" w:rsidRDefault="00492936" w:rsidP="00492936">
            <w:pPr>
              <w:jc w:val="center"/>
              <w:rPr>
                <w:rFonts w:ascii="Calibri" w:hAnsi="Calibri" w:cs="Calibri"/>
                <w:color w:val="000000"/>
                <w:sz w:val="22"/>
                <w:szCs w:val="22"/>
              </w:rPr>
            </w:pPr>
            <w:r w:rsidRPr="007F03BF">
              <w:rPr>
                <w:rFonts w:ascii="Calibri" w:hAnsi="Calibri" w:cs="Calibri"/>
                <w:color w:val="000000"/>
                <w:sz w:val="22"/>
                <w:szCs w:val="22"/>
              </w:rPr>
              <w:t>100.00</w:t>
            </w:r>
          </w:p>
        </w:tc>
      </w:tr>
      <w:tr w:rsidR="00D75C69" w:rsidRPr="007F03BF" w14:paraId="3E5D162A" w14:textId="77777777" w:rsidTr="0049293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0843B892" w14:textId="77777777" w:rsidR="00D75C69" w:rsidRPr="007F03BF" w:rsidRDefault="00D75C69" w:rsidP="00D75C69">
            <w:pPr>
              <w:jc w:val="both"/>
              <w:rPr>
                <w:rFonts w:ascii="Arial" w:hAnsi="Arial" w:cs="Arial"/>
                <w:color w:val="000000"/>
                <w:sz w:val="20"/>
                <w:szCs w:val="20"/>
              </w:rPr>
            </w:pPr>
            <w:r w:rsidRPr="007F03BF">
              <w:rPr>
                <w:rFonts w:ascii="Arial" w:hAnsi="Arial" w:cs="Arial"/>
                <w:color w:val="000000"/>
                <w:sz w:val="20"/>
                <w:szCs w:val="20"/>
              </w:rPr>
              <w:t>2</w:t>
            </w:r>
          </w:p>
        </w:tc>
        <w:tc>
          <w:tcPr>
            <w:tcW w:w="5136" w:type="dxa"/>
            <w:tcBorders>
              <w:top w:val="nil"/>
              <w:left w:val="nil"/>
              <w:bottom w:val="single" w:sz="4" w:space="0" w:color="auto"/>
              <w:right w:val="single" w:sz="4" w:space="0" w:color="auto"/>
            </w:tcBorders>
            <w:shd w:val="clear" w:color="auto" w:fill="auto"/>
            <w:vAlign w:val="center"/>
            <w:hideMark/>
          </w:tcPr>
          <w:p w14:paraId="290C60AE" w14:textId="77777777" w:rsidR="00D75C69" w:rsidRPr="007F03BF" w:rsidRDefault="00D75C69" w:rsidP="00D75C69">
            <w:pPr>
              <w:jc w:val="both"/>
              <w:rPr>
                <w:rFonts w:ascii="Arial" w:hAnsi="Arial" w:cs="Arial"/>
                <w:color w:val="000000"/>
                <w:sz w:val="20"/>
                <w:szCs w:val="20"/>
              </w:rPr>
            </w:pPr>
            <w:r w:rsidRPr="007F03BF">
              <w:rPr>
                <w:rFonts w:ascii="Arial" w:hAnsi="Arial" w:cs="Arial"/>
                <w:color w:val="000000"/>
                <w:sz w:val="20"/>
                <w:szCs w:val="20"/>
              </w:rPr>
              <w:t>Secretaría de Pueblos y Barrios Originarios y Comunidades Indígenas Residentes.</w:t>
            </w:r>
          </w:p>
        </w:tc>
        <w:tc>
          <w:tcPr>
            <w:tcW w:w="1123" w:type="dxa"/>
            <w:tcBorders>
              <w:top w:val="nil"/>
              <w:left w:val="nil"/>
              <w:bottom w:val="single" w:sz="4" w:space="0" w:color="auto"/>
              <w:right w:val="single" w:sz="4" w:space="0" w:color="auto"/>
            </w:tcBorders>
            <w:shd w:val="clear" w:color="auto" w:fill="auto"/>
            <w:vAlign w:val="center"/>
            <w:hideMark/>
          </w:tcPr>
          <w:p w14:paraId="5AE5AA0F" w14:textId="77777777" w:rsidR="00D75C69" w:rsidRPr="007F03BF" w:rsidRDefault="00D75C69" w:rsidP="00D75C69">
            <w:pPr>
              <w:jc w:val="center"/>
              <w:rPr>
                <w:rFonts w:ascii="Calibri" w:hAnsi="Calibri" w:cs="Calibri"/>
                <w:color w:val="000000"/>
                <w:sz w:val="22"/>
                <w:szCs w:val="22"/>
              </w:rPr>
            </w:pPr>
            <w:r w:rsidRPr="007F03BF">
              <w:rPr>
                <w:rFonts w:ascii="Calibri" w:hAnsi="Calibri" w:cs="Calibri"/>
                <w:color w:val="000000"/>
                <w:sz w:val="22"/>
                <w:szCs w:val="22"/>
              </w:rPr>
              <w:t>100.00</w:t>
            </w:r>
          </w:p>
        </w:tc>
        <w:tc>
          <w:tcPr>
            <w:tcW w:w="1263" w:type="dxa"/>
            <w:tcBorders>
              <w:top w:val="nil"/>
              <w:left w:val="nil"/>
              <w:bottom w:val="single" w:sz="4" w:space="0" w:color="auto"/>
              <w:right w:val="single" w:sz="4" w:space="0" w:color="auto"/>
            </w:tcBorders>
            <w:shd w:val="clear" w:color="auto" w:fill="auto"/>
            <w:vAlign w:val="center"/>
            <w:hideMark/>
          </w:tcPr>
          <w:p w14:paraId="37B9D9CA" w14:textId="77777777" w:rsidR="00D75C69" w:rsidRPr="007F03BF" w:rsidRDefault="00D75C69" w:rsidP="00D75C69">
            <w:pPr>
              <w:jc w:val="center"/>
              <w:rPr>
                <w:rFonts w:ascii="Calibri" w:hAnsi="Calibri" w:cs="Calibri"/>
                <w:color w:val="000000"/>
                <w:sz w:val="22"/>
                <w:szCs w:val="22"/>
              </w:rPr>
            </w:pPr>
            <w:r w:rsidRPr="007F03BF">
              <w:rPr>
                <w:rFonts w:ascii="Calibri" w:hAnsi="Calibri" w:cs="Calibri"/>
                <w:color w:val="000000"/>
                <w:sz w:val="22"/>
                <w:szCs w:val="22"/>
              </w:rPr>
              <w:t>100.00</w:t>
            </w:r>
          </w:p>
        </w:tc>
        <w:tc>
          <w:tcPr>
            <w:tcW w:w="875" w:type="dxa"/>
            <w:tcBorders>
              <w:top w:val="nil"/>
              <w:left w:val="nil"/>
              <w:bottom w:val="single" w:sz="4" w:space="0" w:color="auto"/>
              <w:right w:val="single" w:sz="4" w:space="0" w:color="auto"/>
            </w:tcBorders>
            <w:shd w:val="clear" w:color="auto" w:fill="auto"/>
            <w:vAlign w:val="center"/>
            <w:hideMark/>
          </w:tcPr>
          <w:p w14:paraId="6FE4FA23" w14:textId="77777777" w:rsidR="00D75C69" w:rsidRPr="007F03BF" w:rsidRDefault="00D75C69" w:rsidP="00D75C69">
            <w:pPr>
              <w:jc w:val="center"/>
              <w:rPr>
                <w:rFonts w:ascii="Calibri" w:hAnsi="Calibri" w:cs="Calibri"/>
                <w:color w:val="000000"/>
                <w:sz w:val="22"/>
                <w:szCs w:val="22"/>
              </w:rPr>
            </w:pPr>
            <w:r w:rsidRPr="007F03BF">
              <w:rPr>
                <w:rFonts w:ascii="Calibri" w:hAnsi="Calibri" w:cs="Calibri"/>
                <w:color w:val="000000"/>
                <w:sz w:val="22"/>
                <w:szCs w:val="22"/>
              </w:rPr>
              <w:t>100.00</w:t>
            </w:r>
          </w:p>
        </w:tc>
      </w:tr>
      <w:tr w:rsidR="00492936" w:rsidRPr="007F03BF" w14:paraId="5ED26CE9" w14:textId="77777777" w:rsidTr="0049293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14281011" w14:textId="77777777" w:rsidR="00492936" w:rsidRPr="007F03BF" w:rsidRDefault="00492936" w:rsidP="00492936">
            <w:pPr>
              <w:jc w:val="both"/>
              <w:rPr>
                <w:rFonts w:ascii="Arial" w:hAnsi="Arial" w:cs="Arial"/>
                <w:color w:val="000000"/>
                <w:sz w:val="20"/>
                <w:szCs w:val="20"/>
              </w:rPr>
            </w:pPr>
            <w:r w:rsidRPr="007F03BF">
              <w:rPr>
                <w:rFonts w:ascii="Arial" w:hAnsi="Arial" w:cs="Arial"/>
                <w:color w:val="000000"/>
                <w:sz w:val="20"/>
                <w:szCs w:val="20"/>
              </w:rPr>
              <w:lastRenderedPageBreak/>
              <w:t>3</w:t>
            </w:r>
          </w:p>
        </w:tc>
        <w:tc>
          <w:tcPr>
            <w:tcW w:w="5136" w:type="dxa"/>
            <w:tcBorders>
              <w:top w:val="nil"/>
              <w:left w:val="nil"/>
              <w:bottom w:val="single" w:sz="4" w:space="0" w:color="auto"/>
              <w:right w:val="single" w:sz="4" w:space="0" w:color="auto"/>
            </w:tcBorders>
            <w:shd w:val="clear" w:color="auto" w:fill="auto"/>
            <w:vAlign w:val="center"/>
            <w:hideMark/>
          </w:tcPr>
          <w:p w14:paraId="5FFD289A" w14:textId="77777777" w:rsidR="00492936" w:rsidRPr="007F03BF" w:rsidRDefault="00492936" w:rsidP="00492936">
            <w:pPr>
              <w:jc w:val="both"/>
              <w:rPr>
                <w:rFonts w:ascii="Arial" w:hAnsi="Arial" w:cs="Arial"/>
                <w:color w:val="000000"/>
                <w:sz w:val="20"/>
                <w:szCs w:val="20"/>
              </w:rPr>
            </w:pPr>
            <w:r w:rsidRPr="007F03BF">
              <w:rPr>
                <w:rFonts w:ascii="Arial" w:hAnsi="Arial" w:cs="Arial"/>
                <w:color w:val="000000"/>
                <w:sz w:val="20"/>
                <w:szCs w:val="20"/>
              </w:rPr>
              <w:t>Secretaría de las Mujeres</w:t>
            </w:r>
          </w:p>
        </w:tc>
        <w:tc>
          <w:tcPr>
            <w:tcW w:w="1123" w:type="dxa"/>
            <w:tcBorders>
              <w:top w:val="nil"/>
              <w:left w:val="nil"/>
              <w:bottom w:val="single" w:sz="4" w:space="0" w:color="auto"/>
              <w:right w:val="single" w:sz="4" w:space="0" w:color="auto"/>
            </w:tcBorders>
            <w:shd w:val="clear" w:color="auto" w:fill="auto"/>
            <w:vAlign w:val="center"/>
            <w:hideMark/>
          </w:tcPr>
          <w:p w14:paraId="0E0B8047" w14:textId="77777777" w:rsidR="00492936" w:rsidRPr="007F03BF" w:rsidRDefault="00492936" w:rsidP="00492936">
            <w:pPr>
              <w:jc w:val="center"/>
              <w:rPr>
                <w:rFonts w:ascii="Calibri" w:hAnsi="Calibri" w:cs="Calibri"/>
                <w:color w:val="000000"/>
                <w:sz w:val="22"/>
                <w:szCs w:val="22"/>
              </w:rPr>
            </w:pPr>
            <w:r w:rsidRPr="007F03BF">
              <w:rPr>
                <w:rFonts w:ascii="Calibri" w:hAnsi="Calibri" w:cs="Calibri"/>
                <w:color w:val="000000"/>
                <w:sz w:val="22"/>
                <w:szCs w:val="22"/>
              </w:rPr>
              <w:t>97.55</w:t>
            </w:r>
          </w:p>
        </w:tc>
        <w:tc>
          <w:tcPr>
            <w:tcW w:w="1263" w:type="dxa"/>
            <w:tcBorders>
              <w:top w:val="nil"/>
              <w:left w:val="nil"/>
              <w:bottom w:val="single" w:sz="4" w:space="0" w:color="auto"/>
              <w:right w:val="single" w:sz="4" w:space="0" w:color="auto"/>
            </w:tcBorders>
            <w:shd w:val="clear" w:color="auto" w:fill="auto"/>
            <w:vAlign w:val="center"/>
            <w:hideMark/>
          </w:tcPr>
          <w:p w14:paraId="6A44DF95" w14:textId="77777777" w:rsidR="00492936" w:rsidRPr="007F03BF" w:rsidRDefault="00492936" w:rsidP="00492936">
            <w:pPr>
              <w:jc w:val="center"/>
              <w:rPr>
                <w:rFonts w:ascii="Calibri" w:hAnsi="Calibri" w:cs="Calibri"/>
                <w:color w:val="000000"/>
                <w:sz w:val="22"/>
                <w:szCs w:val="22"/>
              </w:rPr>
            </w:pPr>
            <w:r w:rsidRPr="007F03BF">
              <w:rPr>
                <w:rFonts w:ascii="Calibri" w:hAnsi="Calibri" w:cs="Calibri"/>
                <w:color w:val="000000"/>
                <w:sz w:val="22"/>
                <w:szCs w:val="22"/>
              </w:rPr>
              <w:t>97.97</w:t>
            </w:r>
          </w:p>
        </w:tc>
        <w:tc>
          <w:tcPr>
            <w:tcW w:w="875" w:type="dxa"/>
            <w:tcBorders>
              <w:top w:val="nil"/>
              <w:left w:val="nil"/>
              <w:bottom w:val="single" w:sz="4" w:space="0" w:color="auto"/>
              <w:right w:val="single" w:sz="4" w:space="0" w:color="auto"/>
            </w:tcBorders>
            <w:shd w:val="clear" w:color="auto" w:fill="auto"/>
            <w:vAlign w:val="center"/>
            <w:hideMark/>
          </w:tcPr>
          <w:p w14:paraId="6F425561" w14:textId="77777777" w:rsidR="00492936" w:rsidRPr="007F03BF" w:rsidRDefault="00492936" w:rsidP="00492936">
            <w:pPr>
              <w:jc w:val="center"/>
              <w:rPr>
                <w:rFonts w:ascii="Calibri" w:hAnsi="Calibri" w:cs="Calibri"/>
                <w:color w:val="000000"/>
                <w:sz w:val="22"/>
                <w:szCs w:val="22"/>
              </w:rPr>
            </w:pPr>
            <w:r w:rsidRPr="007F03BF">
              <w:rPr>
                <w:rFonts w:ascii="Calibri" w:hAnsi="Calibri" w:cs="Calibri"/>
                <w:color w:val="000000"/>
                <w:sz w:val="22"/>
                <w:szCs w:val="22"/>
              </w:rPr>
              <w:t>97.76</w:t>
            </w:r>
          </w:p>
        </w:tc>
      </w:tr>
      <w:tr w:rsidR="00D75C69" w:rsidRPr="007F03BF" w14:paraId="09836C46" w14:textId="77777777" w:rsidTr="00D75C69">
        <w:trPr>
          <w:trHeight w:val="680"/>
        </w:trPr>
        <w:tc>
          <w:tcPr>
            <w:tcW w:w="529" w:type="dxa"/>
            <w:tcBorders>
              <w:top w:val="nil"/>
              <w:left w:val="single" w:sz="4" w:space="0" w:color="auto"/>
              <w:bottom w:val="single" w:sz="4" w:space="0" w:color="auto"/>
              <w:right w:val="single" w:sz="4" w:space="0" w:color="auto"/>
            </w:tcBorders>
            <w:shd w:val="clear" w:color="auto" w:fill="auto"/>
            <w:vAlign w:val="center"/>
          </w:tcPr>
          <w:p w14:paraId="49A91E74" w14:textId="77777777" w:rsidR="00D75C69" w:rsidRPr="007F03BF" w:rsidRDefault="00D75C69" w:rsidP="00D75C69">
            <w:pPr>
              <w:jc w:val="both"/>
              <w:rPr>
                <w:rFonts w:ascii="Arial" w:hAnsi="Arial" w:cs="Arial"/>
                <w:color w:val="000000"/>
                <w:sz w:val="20"/>
                <w:szCs w:val="20"/>
              </w:rPr>
            </w:pPr>
            <w:r w:rsidRPr="007F03BF">
              <w:rPr>
                <w:rFonts w:ascii="Arial" w:hAnsi="Arial" w:cs="Arial"/>
                <w:color w:val="000000"/>
                <w:sz w:val="20"/>
                <w:szCs w:val="20"/>
              </w:rPr>
              <w:t>4</w:t>
            </w:r>
          </w:p>
        </w:tc>
        <w:tc>
          <w:tcPr>
            <w:tcW w:w="5136" w:type="dxa"/>
            <w:tcBorders>
              <w:top w:val="nil"/>
              <w:left w:val="nil"/>
              <w:bottom w:val="single" w:sz="4" w:space="0" w:color="auto"/>
              <w:right w:val="single" w:sz="4" w:space="0" w:color="auto"/>
            </w:tcBorders>
            <w:shd w:val="clear" w:color="auto" w:fill="auto"/>
            <w:vAlign w:val="center"/>
          </w:tcPr>
          <w:p w14:paraId="780232FC" w14:textId="77777777" w:rsidR="00D75C69" w:rsidRPr="007F03BF" w:rsidRDefault="00D75C69" w:rsidP="00D75C69">
            <w:pPr>
              <w:jc w:val="both"/>
              <w:rPr>
                <w:rFonts w:ascii="Arial" w:hAnsi="Arial" w:cs="Arial"/>
                <w:color w:val="000000"/>
                <w:sz w:val="20"/>
                <w:szCs w:val="20"/>
              </w:rPr>
            </w:pPr>
            <w:r w:rsidRPr="007F03BF">
              <w:rPr>
                <w:rFonts w:ascii="Arial" w:hAnsi="Arial" w:cs="Arial"/>
                <w:color w:val="000000"/>
                <w:sz w:val="20"/>
                <w:szCs w:val="20"/>
              </w:rPr>
              <w:t>Secretaría de Gestión Integral de Riesgos y Protección Civil.</w:t>
            </w:r>
          </w:p>
        </w:tc>
        <w:tc>
          <w:tcPr>
            <w:tcW w:w="1123" w:type="dxa"/>
            <w:tcBorders>
              <w:top w:val="nil"/>
              <w:left w:val="nil"/>
              <w:bottom w:val="single" w:sz="4" w:space="0" w:color="auto"/>
              <w:right w:val="single" w:sz="4" w:space="0" w:color="auto"/>
            </w:tcBorders>
            <w:shd w:val="clear" w:color="auto" w:fill="auto"/>
            <w:vAlign w:val="center"/>
          </w:tcPr>
          <w:p w14:paraId="076AEE81" w14:textId="77777777" w:rsidR="00D75C69" w:rsidRPr="007F03BF" w:rsidRDefault="00D75C69" w:rsidP="00D75C69">
            <w:pPr>
              <w:jc w:val="center"/>
              <w:rPr>
                <w:rFonts w:ascii="Calibri" w:hAnsi="Calibri" w:cs="Calibri"/>
                <w:color w:val="000000"/>
                <w:sz w:val="22"/>
                <w:szCs w:val="22"/>
              </w:rPr>
            </w:pPr>
            <w:r w:rsidRPr="007F03BF">
              <w:rPr>
                <w:rFonts w:ascii="Calibri" w:hAnsi="Calibri" w:cs="Calibri"/>
                <w:color w:val="000000"/>
                <w:sz w:val="22"/>
                <w:szCs w:val="22"/>
              </w:rPr>
              <w:t>94.50</w:t>
            </w:r>
          </w:p>
        </w:tc>
        <w:tc>
          <w:tcPr>
            <w:tcW w:w="1263" w:type="dxa"/>
            <w:tcBorders>
              <w:top w:val="nil"/>
              <w:left w:val="nil"/>
              <w:bottom w:val="single" w:sz="4" w:space="0" w:color="auto"/>
              <w:right w:val="single" w:sz="4" w:space="0" w:color="auto"/>
            </w:tcBorders>
            <w:shd w:val="clear" w:color="auto" w:fill="auto"/>
            <w:vAlign w:val="center"/>
          </w:tcPr>
          <w:p w14:paraId="2C4C6F34" w14:textId="77777777" w:rsidR="00D75C69" w:rsidRPr="007F03BF" w:rsidRDefault="00D75C69" w:rsidP="00D75C69">
            <w:pPr>
              <w:jc w:val="center"/>
              <w:rPr>
                <w:rFonts w:ascii="Calibri" w:hAnsi="Calibri" w:cs="Calibri"/>
                <w:color w:val="000000"/>
                <w:sz w:val="22"/>
                <w:szCs w:val="22"/>
              </w:rPr>
            </w:pPr>
            <w:r w:rsidRPr="007F03BF">
              <w:rPr>
                <w:rFonts w:ascii="Calibri" w:hAnsi="Calibri" w:cs="Calibri"/>
                <w:color w:val="000000"/>
                <w:sz w:val="22"/>
                <w:szCs w:val="22"/>
              </w:rPr>
              <w:t>88.96</w:t>
            </w:r>
          </w:p>
        </w:tc>
        <w:tc>
          <w:tcPr>
            <w:tcW w:w="875" w:type="dxa"/>
            <w:tcBorders>
              <w:top w:val="nil"/>
              <w:left w:val="nil"/>
              <w:bottom w:val="single" w:sz="4" w:space="0" w:color="auto"/>
              <w:right w:val="single" w:sz="4" w:space="0" w:color="auto"/>
            </w:tcBorders>
            <w:shd w:val="clear" w:color="auto" w:fill="auto"/>
            <w:vAlign w:val="center"/>
          </w:tcPr>
          <w:p w14:paraId="0B52FB68" w14:textId="77777777" w:rsidR="00D75C69" w:rsidRPr="007F03BF" w:rsidRDefault="00D75C69" w:rsidP="00D75C69">
            <w:pPr>
              <w:jc w:val="center"/>
              <w:rPr>
                <w:rFonts w:ascii="Calibri" w:hAnsi="Calibri" w:cs="Calibri"/>
                <w:color w:val="000000"/>
                <w:sz w:val="22"/>
                <w:szCs w:val="22"/>
              </w:rPr>
            </w:pPr>
            <w:r w:rsidRPr="007F03BF">
              <w:rPr>
                <w:rFonts w:ascii="Calibri" w:hAnsi="Calibri" w:cs="Calibri"/>
                <w:color w:val="000000"/>
                <w:sz w:val="22"/>
                <w:szCs w:val="22"/>
              </w:rPr>
              <w:t>91.73</w:t>
            </w:r>
          </w:p>
        </w:tc>
      </w:tr>
    </w:tbl>
    <w:p w14:paraId="11DD6258"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sz w:val="16"/>
          <w:szCs w:val="16"/>
        </w:rPr>
      </w:pPr>
      <w:r w:rsidRPr="007F03BF">
        <w:rPr>
          <w:rFonts w:ascii="Arial" w:hAnsi="Arial" w:cs="Arial"/>
          <w:b/>
          <w:color w:val="000000" w:themeColor="text1"/>
          <w:sz w:val="16"/>
          <w:szCs w:val="16"/>
        </w:rPr>
        <w:t>Nota metodológica</w:t>
      </w:r>
      <w:r w:rsidRPr="007F03BF">
        <w:rPr>
          <w:rFonts w:ascii="Arial" w:hAnsi="Arial" w:cs="Arial"/>
          <w:color w:val="000000" w:themeColor="text1"/>
          <w:sz w:val="16"/>
          <w:szCs w:val="16"/>
        </w:rPr>
        <w:t xml:space="preserve">: </w:t>
      </w:r>
    </w:p>
    <w:p w14:paraId="7512842F"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sz w:val="16"/>
          <w:szCs w:val="16"/>
        </w:rPr>
      </w:pPr>
      <w:r w:rsidRPr="007F03BF">
        <w:rPr>
          <w:rFonts w:ascii="Arial" w:hAnsi="Arial" w:cs="Arial"/>
          <w:color w:val="000000" w:themeColor="text1"/>
          <w:sz w:val="16"/>
          <w:szCs w:val="16"/>
        </w:rPr>
        <w:t>El IGOT se compone del promedio de ICOT-PI e ICOT-PNT.</w:t>
      </w:r>
    </w:p>
    <w:p w14:paraId="62660472"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sz w:val="16"/>
          <w:szCs w:val="16"/>
        </w:rPr>
      </w:pPr>
      <w:r w:rsidRPr="007F03BF">
        <w:rPr>
          <w:rFonts w:ascii="Arial" w:hAnsi="Arial" w:cs="Arial"/>
          <w:b/>
          <w:bCs/>
          <w:color w:val="000000" w:themeColor="text1"/>
          <w:sz w:val="16"/>
          <w:szCs w:val="16"/>
        </w:rPr>
        <w:t>%</w:t>
      </w:r>
      <w:proofErr w:type="spellStart"/>
      <w:r w:rsidRPr="007F03BF">
        <w:rPr>
          <w:rFonts w:ascii="Arial" w:hAnsi="Arial" w:cs="Arial"/>
          <w:b/>
          <w:bCs/>
          <w:color w:val="000000" w:themeColor="text1"/>
          <w:sz w:val="16"/>
          <w:szCs w:val="16"/>
        </w:rPr>
        <w:t>Inf</w:t>
      </w:r>
      <w:proofErr w:type="spellEnd"/>
      <w:r w:rsidRPr="007F03BF">
        <w:rPr>
          <w:rFonts w:ascii="Arial" w:hAnsi="Arial" w:cs="Arial"/>
          <w:b/>
          <w:bCs/>
          <w:color w:val="000000" w:themeColor="text1"/>
          <w:sz w:val="16"/>
          <w:szCs w:val="16"/>
        </w:rPr>
        <w:t xml:space="preserve"> PI:</w:t>
      </w:r>
      <w:r w:rsidRPr="007F03BF">
        <w:rPr>
          <w:rFonts w:ascii="Arial" w:hAnsi="Arial" w:cs="Arial"/>
          <w:color w:val="000000" w:themeColor="text1"/>
          <w:sz w:val="16"/>
          <w:szCs w:val="16"/>
        </w:rPr>
        <w:t xml:space="preserve"> corresponde al porcentaje del índice que hace referencia a la información que se encuentra publicada y actualizada en el Portal de Internet (PI) del sujeto obligado. </w:t>
      </w:r>
    </w:p>
    <w:p w14:paraId="7EC56F8A"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sz w:val="16"/>
          <w:szCs w:val="16"/>
        </w:rPr>
      </w:pPr>
      <w:r w:rsidRPr="007F03BF">
        <w:rPr>
          <w:rFonts w:ascii="Arial" w:hAnsi="Arial" w:cs="Arial"/>
          <w:b/>
          <w:bCs/>
          <w:color w:val="000000" w:themeColor="text1"/>
          <w:sz w:val="16"/>
          <w:szCs w:val="16"/>
        </w:rPr>
        <w:t>%</w:t>
      </w:r>
      <w:proofErr w:type="spellStart"/>
      <w:r w:rsidRPr="007F03BF">
        <w:rPr>
          <w:rFonts w:ascii="Arial" w:hAnsi="Arial" w:cs="Arial"/>
          <w:b/>
          <w:bCs/>
          <w:color w:val="000000" w:themeColor="text1"/>
          <w:sz w:val="16"/>
          <w:szCs w:val="16"/>
        </w:rPr>
        <w:t>Inf</w:t>
      </w:r>
      <w:proofErr w:type="spellEnd"/>
      <w:r w:rsidRPr="007F03BF">
        <w:rPr>
          <w:rFonts w:ascii="Arial" w:hAnsi="Arial" w:cs="Arial"/>
          <w:b/>
          <w:bCs/>
          <w:color w:val="000000" w:themeColor="text1"/>
          <w:sz w:val="16"/>
          <w:szCs w:val="16"/>
        </w:rPr>
        <w:t xml:space="preserve"> PNT:</w:t>
      </w:r>
      <w:r w:rsidRPr="007F03BF">
        <w:rPr>
          <w:rFonts w:ascii="Arial" w:hAnsi="Arial" w:cs="Arial"/>
          <w:color w:val="000000" w:themeColor="text1"/>
          <w:sz w:val="16"/>
          <w:szCs w:val="16"/>
        </w:rPr>
        <w:t xml:space="preserve"> corresponde al porcentaje del índice que hace referencia a la información que se encuentra publicada y actualizada en la Plataforma Nacional de Transparencia (PNT) del sujeto obligado.</w:t>
      </w:r>
    </w:p>
    <w:p w14:paraId="7754F113"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sz w:val="16"/>
          <w:szCs w:val="16"/>
        </w:rPr>
      </w:pPr>
      <w:r w:rsidRPr="007F03BF">
        <w:rPr>
          <w:rFonts w:ascii="Arial" w:hAnsi="Arial" w:cs="Arial"/>
          <w:b/>
          <w:bCs/>
          <w:color w:val="000000" w:themeColor="text1"/>
          <w:sz w:val="16"/>
          <w:szCs w:val="16"/>
        </w:rPr>
        <w:t>%</w:t>
      </w:r>
      <w:proofErr w:type="spellStart"/>
      <w:r w:rsidRPr="007F03BF">
        <w:rPr>
          <w:rFonts w:ascii="Arial" w:hAnsi="Arial" w:cs="Arial"/>
          <w:b/>
          <w:bCs/>
          <w:color w:val="000000" w:themeColor="text1"/>
          <w:sz w:val="16"/>
          <w:szCs w:val="16"/>
        </w:rPr>
        <w:t>Inf</w:t>
      </w:r>
      <w:proofErr w:type="spellEnd"/>
      <w:r w:rsidRPr="007F03BF">
        <w:rPr>
          <w:rFonts w:ascii="Arial" w:hAnsi="Arial" w:cs="Arial"/>
          <w:b/>
          <w:bCs/>
          <w:color w:val="000000" w:themeColor="text1"/>
          <w:sz w:val="16"/>
          <w:szCs w:val="16"/>
        </w:rPr>
        <w:t xml:space="preserve"> IGOT: </w:t>
      </w:r>
      <w:r w:rsidRPr="007F03BF">
        <w:rPr>
          <w:rFonts w:ascii="Arial" w:hAnsi="Arial" w:cs="Arial"/>
          <w:color w:val="000000" w:themeColor="text1"/>
          <w:sz w:val="16"/>
          <w:szCs w:val="16"/>
        </w:rPr>
        <w:t>corresponde al porcentaje del índice que hace referencia a la información que se encuentra publicada y actualizada tanto en la PNT y el PI del sujeto obligado.</w:t>
      </w:r>
    </w:p>
    <w:p w14:paraId="10B14E21"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7D0F14F0" w14:textId="16170CC6"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En atención a la Tabla de Aplicabilidad realizada por la </w:t>
      </w:r>
      <w:r w:rsidR="00443947" w:rsidRPr="007F03BF">
        <w:rPr>
          <w:rFonts w:ascii="Arial" w:hAnsi="Arial" w:cs="Arial"/>
          <w:color w:val="000000" w:themeColor="text1"/>
        </w:rPr>
        <w:t xml:space="preserve">Dirección </w:t>
      </w:r>
      <w:r w:rsidRPr="007F03BF">
        <w:rPr>
          <w:rFonts w:ascii="Arial" w:hAnsi="Arial" w:cs="Arial"/>
          <w:color w:val="000000" w:themeColor="text1"/>
        </w:rPr>
        <w:t xml:space="preserve">del Instituto, las obligaciones que el Poder Ejecutivo – Administración Central debe actualizar y publicar en el SIPOT de la PNT, así como en sus respectivos portales de internet son las contempladas en los siguientes artículos: </w:t>
      </w:r>
    </w:p>
    <w:p w14:paraId="46A329EE" w14:textId="77777777" w:rsidR="001A6622" w:rsidRPr="007F03BF"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7F03BF">
        <w:rPr>
          <w:rFonts w:ascii="Arial" w:hAnsi="Arial" w:cs="Arial"/>
          <w:color w:val="000000" w:themeColor="text1"/>
          <w:sz w:val="24"/>
          <w:szCs w:val="24"/>
        </w:rPr>
        <w:t>Artículo 121. Obligaciones comunes,</w:t>
      </w:r>
    </w:p>
    <w:p w14:paraId="7C8C7B48" w14:textId="77777777" w:rsidR="001A6622" w:rsidRPr="007F03BF"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7F03BF">
        <w:rPr>
          <w:rFonts w:ascii="Arial" w:hAnsi="Arial" w:cs="Arial"/>
          <w:color w:val="000000" w:themeColor="text1"/>
          <w:sz w:val="24"/>
          <w:szCs w:val="24"/>
        </w:rPr>
        <w:t>Artículo 122. Obligaciones comunes,</w:t>
      </w:r>
    </w:p>
    <w:p w14:paraId="3462619B" w14:textId="77777777" w:rsidR="001A6622" w:rsidRPr="007F03BF"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7F03BF">
        <w:rPr>
          <w:rFonts w:ascii="Arial" w:hAnsi="Arial" w:cs="Arial"/>
          <w:color w:val="000000" w:themeColor="text1"/>
          <w:sz w:val="24"/>
          <w:szCs w:val="24"/>
        </w:rPr>
        <w:t>Artículo 123. Obligaciones Específicas del Poder Ejecutivo,</w:t>
      </w:r>
    </w:p>
    <w:p w14:paraId="3D47593E" w14:textId="77777777" w:rsidR="001A6622" w:rsidRPr="007F03BF"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7F03BF">
        <w:rPr>
          <w:rFonts w:ascii="Arial" w:hAnsi="Arial" w:cs="Arial"/>
          <w:color w:val="000000" w:themeColor="text1"/>
          <w:sz w:val="24"/>
          <w:szCs w:val="24"/>
        </w:rPr>
        <w:t>Artículo 143. Disposiciones Particulares,</w:t>
      </w:r>
    </w:p>
    <w:p w14:paraId="75376282" w14:textId="77777777" w:rsidR="001A6622" w:rsidRPr="007F03BF"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7F03BF">
        <w:rPr>
          <w:rFonts w:ascii="Arial" w:hAnsi="Arial" w:cs="Arial"/>
          <w:color w:val="000000" w:themeColor="text1"/>
          <w:sz w:val="24"/>
          <w:szCs w:val="24"/>
        </w:rPr>
        <w:t xml:space="preserve">Artículo 145. Disposiciones Particulares, </w:t>
      </w:r>
    </w:p>
    <w:p w14:paraId="68CAFDE6" w14:textId="77777777" w:rsidR="001A6622" w:rsidRPr="007F03BF"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7F03BF">
        <w:rPr>
          <w:rFonts w:ascii="Arial" w:hAnsi="Arial" w:cs="Arial"/>
          <w:color w:val="000000" w:themeColor="text1"/>
          <w:sz w:val="24"/>
          <w:szCs w:val="24"/>
        </w:rPr>
        <w:t xml:space="preserve">Artículo 146. Disposiciones Particulares, </w:t>
      </w:r>
    </w:p>
    <w:p w14:paraId="4E7B5751" w14:textId="77777777" w:rsidR="001A6622" w:rsidRPr="007F03BF" w:rsidRDefault="001A6622" w:rsidP="001A6622">
      <w:pPr>
        <w:pStyle w:val="Prrafodelista"/>
        <w:numPr>
          <w:ilvl w:val="0"/>
          <w:numId w:val="5"/>
        </w:numPr>
        <w:spacing w:before="100" w:beforeAutospacing="1" w:after="100" w:afterAutospacing="1" w:line="360" w:lineRule="auto"/>
        <w:ind w:left="851"/>
        <w:jc w:val="both"/>
        <w:rPr>
          <w:rFonts w:ascii="Arial" w:hAnsi="Arial" w:cs="Arial"/>
          <w:color w:val="000000" w:themeColor="text1"/>
          <w:sz w:val="24"/>
          <w:szCs w:val="24"/>
        </w:rPr>
      </w:pPr>
      <w:r w:rsidRPr="007F03BF">
        <w:rPr>
          <w:rFonts w:ascii="Arial" w:hAnsi="Arial" w:cs="Arial"/>
          <w:color w:val="000000" w:themeColor="text1"/>
          <w:sz w:val="24"/>
          <w:szCs w:val="24"/>
        </w:rPr>
        <w:t xml:space="preserve">Artículo 147. Disposiciones Particulares. </w:t>
      </w:r>
    </w:p>
    <w:p w14:paraId="6CD19471" w14:textId="77777777" w:rsidR="001A6622" w:rsidRPr="007F03BF" w:rsidRDefault="001A6622" w:rsidP="00FF7BD9">
      <w:pPr>
        <w:pStyle w:val="Ttulo2"/>
        <w:contextualSpacing/>
        <w:jc w:val="both"/>
        <w:rPr>
          <w:rFonts w:ascii="Arial" w:hAnsi="Arial" w:cs="Arial"/>
          <w:b/>
          <w:color w:val="000000" w:themeColor="text1"/>
          <w:sz w:val="24"/>
          <w:szCs w:val="24"/>
        </w:rPr>
      </w:pPr>
      <w:bookmarkStart w:id="14" w:name="_Toc39683996"/>
      <w:r w:rsidRPr="007F03BF">
        <w:rPr>
          <w:rFonts w:ascii="Arial" w:hAnsi="Arial" w:cs="Arial"/>
          <w:b/>
          <w:color w:val="000000" w:themeColor="text1"/>
          <w:sz w:val="24"/>
          <w:szCs w:val="24"/>
        </w:rPr>
        <w:t>Análisis global de cumplimiento del Poder Ejecutivo – Administración Central</w:t>
      </w:r>
      <w:bookmarkEnd w:id="14"/>
    </w:p>
    <w:p w14:paraId="3F38A0F9" w14:textId="77777777" w:rsidR="001A6622" w:rsidRPr="007F03BF" w:rsidRDefault="001A6622" w:rsidP="001A6622">
      <w:pPr>
        <w:rPr>
          <w:rFonts w:ascii="Arial" w:hAnsi="Arial" w:cs="Arial"/>
          <w:color w:val="000000" w:themeColor="text1"/>
        </w:rPr>
      </w:pPr>
    </w:p>
    <w:p w14:paraId="7A8435EA"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u w:val="single"/>
        </w:rPr>
      </w:pPr>
      <w:r w:rsidRPr="007F03BF">
        <w:rPr>
          <w:rFonts w:ascii="Arial" w:hAnsi="Arial" w:cs="Arial"/>
          <w:color w:val="000000" w:themeColor="text1"/>
          <w:u w:val="single"/>
        </w:rPr>
        <w:t>Índices Globales de Cumplimiento de las obligaciones de transparencia</w:t>
      </w:r>
    </w:p>
    <w:p w14:paraId="3D153A75"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72707C6F"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lastRenderedPageBreak/>
        <w:t>El ámbito del Poder Ejecutivo – Administración Central obtuvo un IGOT de 9</w:t>
      </w:r>
      <w:r w:rsidR="002003CE" w:rsidRPr="007F03BF">
        <w:rPr>
          <w:rFonts w:ascii="Arial" w:hAnsi="Arial" w:cs="Arial"/>
          <w:color w:val="000000" w:themeColor="text1"/>
        </w:rPr>
        <w:t>7.37</w:t>
      </w:r>
      <w:r w:rsidRPr="007F03BF">
        <w:rPr>
          <w:rFonts w:ascii="Arial" w:hAnsi="Arial" w:cs="Arial"/>
          <w:color w:val="000000" w:themeColor="text1"/>
        </w:rPr>
        <w:t>%, el cual está compuesto por un índice de 9</w:t>
      </w:r>
      <w:r w:rsidR="002003CE" w:rsidRPr="007F03BF">
        <w:rPr>
          <w:rFonts w:ascii="Arial" w:hAnsi="Arial" w:cs="Arial"/>
          <w:color w:val="000000" w:themeColor="text1"/>
        </w:rPr>
        <w:t>6.73</w:t>
      </w:r>
      <w:r w:rsidRPr="007F03BF">
        <w:rPr>
          <w:rFonts w:ascii="Arial" w:hAnsi="Arial" w:cs="Arial"/>
          <w:color w:val="000000" w:themeColor="text1"/>
        </w:rPr>
        <w:t xml:space="preserve">% en lo que corresponde a la Plataforma Nacional de Transparencia (PNT) y un índice de </w:t>
      </w:r>
      <w:r w:rsidR="002003CE" w:rsidRPr="007F03BF">
        <w:rPr>
          <w:rFonts w:ascii="Arial" w:hAnsi="Arial" w:cs="Arial"/>
          <w:color w:val="000000" w:themeColor="text1"/>
        </w:rPr>
        <w:t>98.01</w:t>
      </w:r>
      <w:r w:rsidRPr="007F03BF">
        <w:rPr>
          <w:rFonts w:ascii="Arial" w:hAnsi="Arial" w:cs="Arial"/>
          <w:color w:val="000000" w:themeColor="text1"/>
        </w:rPr>
        <w:t>% en lo que se refiere al Portal de Transparencia (PI).</w:t>
      </w:r>
    </w:p>
    <w:p w14:paraId="606297AC"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41618A4F"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Todos los sujetos que integran este ámbito atendieron las recomendaciones y observaciones emitidas en la </w:t>
      </w:r>
      <w:r w:rsidR="002003CE" w:rsidRPr="007F03BF">
        <w:rPr>
          <w:rFonts w:ascii="Arial" w:hAnsi="Arial" w:cs="Arial"/>
          <w:color w:val="000000" w:themeColor="text1"/>
        </w:rPr>
        <w:t>Segunda</w:t>
      </w:r>
      <w:r w:rsidRPr="007F03BF">
        <w:rPr>
          <w:rFonts w:ascii="Arial" w:hAnsi="Arial" w:cs="Arial"/>
          <w:color w:val="000000" w:themeColor="text1"/>
        </w:rPr>
        <w:t xml:space="preserve"> Evaluación Vinculante 2019; no obstante, únicamente </w:t>
      </w:r>
      <w:r w:rsidR="006E77B9" w:rsidRPr="007F03BF">
        <w:rPr>
          <w:rFonts w:ascii="Arial" w:hAnsi="Arial" w:cs="Arial"/>
          <w:color w:val="000000" w:themeColor="text1"/>
        </w:rPr>
        <w:t>dos</w:t>
      </w:r>
      <w:r w:rsidRPr="007F03BF">
        <w:rPr>
          <w:rFonts w:ascii="Arial" w:hAnsi="Arial" w:cs="Arial"/>
          <w:color w:val="000000" w:themeColor="text1"/>
        </w:rPr>
        <w:t xml:space="preserve"> subsanaron a cabalidad las recomendaciones, logrando un cumplimiento total de las obligaciones de transparencia</w:t>
      </w:r>
      <w:r w:rsidR="006E77B9" w:rsidRPr="007F03BF">
        <w:rPr>
          <w:rFonts w:ascii="Arial" w:hAnsi="Arial" w:cs="Arial"/>
          <w:color w:val="000000" w:themeColor="text1"/>
        </w:rPr>
        <w:t xml:space="preserve"> y dos</w:t>
      </w:r>
      <w:r w:rsidRPr="007F03BF">
        <w:rPr>
          <w:rFonts w:ascii="Arial" w:hAnsi="Arial" w:cs="Arial"/>
          <w:color w:val="000000" w:themeColor="text1"/>
        </w:rPr>
        <w:t xml:space="preserve"> sujetos de la aún presentan áreas de oportunidad en la publicación y actualización de la información. </w:t>
      </w:r>
      <w:r w:rsidR="006E77B9" w:rsidRPr="007F03BF">
        <w:rPr>
          <w:rFonts w:ascii="Arial" w:hAnsi="Arial" w:cs="Arial"/>
          <w:color w:val="000000" w:themeColor="text1"/>
        </w:rPr>
        <w:t>Ambos sujetos se encuentran en con IGOT superior a 90%.</w:t>
      </w:r>
      <w:r w:rsidRPr="007F03BF">
        <w:rPr>
          <w:rFonts w:ascii="Arial" w:hAnsi="Arial" w:cs="Arial"/>
          <w:color w:val="000000" w:themeColor="text1"/>
        </w:rPr>
        <w:t xml:space="preserve"> </w:t>
      </w:r>
    </w:p>
    <w:p w14:paraId="5603D6F5"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6C5A622C" w14:textId="60D5564C"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Con relación a la </w:t>
      </w:r>
      <w:r w:rsidR="006E77B9" w:rsidRPr="007F03BF">
        <w:rPr>
          <w:rFonts w:ascii="Arial" w:hAnsi="Arial" w:cs="Arial"/>
          <w:color w:val="000000" w:themeColor="text1"/>
        </w:rPr>
        <w:t xml:space="preserve">Segunda </w:t>
      </w:r>
      <w:r w:rsidRPr="007F03BF">
        <w:rPr>
          <w:rFonts w:ascii="Arial" w:hAnsi="Arial" w:cs="Arial"/>
          <w:color w:val="000000" w:themeColor="text1"/>
        </w:rPr>
        <w:t xml:space="preserve">Evaluación Vinculante 2019, este ámbito tuvo un incremento, puesto que pasó de tener un IGOT de </w:t>
      </w:r>
      <w:r w:rsidR="006E77B9" w:rsidRPr="007F03BF">
        <w:rPr>
          <w:rFonts w:ascii="Arial" w:hAnsi="Arial" w:cs="Arial"/>
          <w:color w:val="000000" w:themeColor="text1"/>
        </w:rPr>
        <w:t>96.23</w:t>
      </w:r>
      <w:r w:rsidRPr="007F03BF">
        <w:rPr>
          <w:rFonts w:ascii="Arial" w:hAnsi="Arial" w:cs="Arial"/>
          <w:color w:val="000000" w:themeColor="text1"/>
        </w:rPr>
        <w:t xml:space="preserve">% a uno de </w:t>
      </w:r>
      <w:r w:rsidR="006E77B9" w:rsidRPr="007F03BF">
        <w:rPr>
          <w:rFonts w:ascii="Arial" w:hAnsi="Arial" w:cs="Arial"/>
          <w:color w:val="000000" w:themeColor="text1"/>
        </w:rPr>
        <w:t>97.37</w:t>
      </w:r>
      <w:r w:rsidRPr="007F03BF">
        <w:rPr>
          <w:rFonts w:ascii="Arial" w:hAnsi="Arial" w:cs="Arial"/>
          <w:color w:val="000000" w:themeColor="text1"/>
        </w:rPr>
        <w:t xml:space="preserve">%; manteniéndose con un cumplimiento parcial de las obligaciones de transparencia de la Ley de Transparencia </w:t>
      </w:r>
      <w:r w:rsidR="00D47F3C" w:rsidRPr="007F03BF">
        <w:rPr>
          <w:rFonts w:ascii="Arial" w:hAnsi="Arial" w:cs="Arial"/>
          <w:color w:val="000000" w:themeColor="text1"/>
        </w:rPr>
        <w:t>local</w:t>
      </w:r>
      <w:r w:rsidRPr="007F03BF">
        <w:rPr>
          <w:rFonts w:ascii="Arial" w:hAnsi="Arial" w:cs="Arial"/>
          <w:color w:val="000000" w:themeColor="text1"/>
        </w:rPr>
        <w:t xml:space="preserve">. Este ámbito tuvo un incremento de </w:t>
      </w:r>
      <w:r w:rsidR="006E77B9" w:rsidRPr="007F03BF">
        <w:rPr>
          <w:rFonts w:ascii="Arial" w:hAnsi="Arial" w:cs="Arial"/>
          <w:color w:val="000000" w:themeColor="text1"/>
        </w:rPr>
        <w:t>1.</w:t>
      </w:r>
      <w:r w:rsidRPr="007F03BF">
        <w:rPr>
          <w:rFonts w:ascii="Arial" w:hAnsi="Arial" w:cs="Arial"/>
          <w:color w:val="000000" w:themeColor="text1"/>
        </w:rPr>
        <w:t xml:space="preserve">14% dentro de su índice. </w:t>
      </w:r>
    </w:p>
    <w:p w14:paraId="627524C6"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4310A442"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u w:val="single"/>
        </w:rPr>
      </w:pPr>
      <w:r w:rsidRPr="007F03BF">
        <w:rPr>
          <w:rFonts w:ascii="Arial" w:hAnsi="Arial" w:cs="Arial"/>
          <w:color w:val="000000" w:themeColor="text1"/>
          <w:u w:val="single"/>
        </w:rPr>
        <w:t xml:space="preserve">Cumplimiento diferenciado por artículos </w:t>
      </w:r>
    </w:p>
    <w:p w14:paraId="707A5A21"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u w:val="single"/>
        </w:rPr>
      </w:pPr>
    </w:p>
    <w:p w14:paraId="20E0A23F"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Con relación al tipo de obligaciones de transparencia, este ámbito ha cumplido parcialmente con sus obligaciones comunes, específicas y disposiciones particulares, obteniendo un ICP de </w:t>
      </w:r>
      <w:r w:rsidR="006E77B9" w:rsidRPr="007F03BF">
        <w:rPr>
          <w:rFonts w:ascii="Arial" w:hAnsi="Arial" w:cs="Arial"/>
          <w:color w:val="000000" w:themeColor="text1"/>
        </w:rPr>
        <w:t>98.85</w:t>
      </w:r>
      <w:r w:rsidRPr="007F03BF">
        <w:rPr>
          <w:rFonts w:ascii="Arial" w:hAnsi="Arial" w:cs="Arial"/>
          <w:color w:val="000000" w:themeColor="text1"/>
        </w:rPr>
        <w:t>%, 9</w:t>
      </w:r>
      <w:r w:rsidR="006E77B9" w:rsidRPr="007F03BF">
        <w:rPr>
          <w:rFonts w:ascii="Arial" w:hAnsi="Arial" w:cs="Arial"/>
          <w:color w:val="000000" w:themeColor="text1"/>
        </w:rPr>
        <w:t>6.92</w:t>
      </w:r>
      <w:r w:rsidRPr="007F03BF">
        <w:rPr>
          <w:rFonts w:ascii="Arial" w:hAnsi="Arial" w:cs="Arial"/>
          <w:color w:val="000000" w:themeColor="text1"/>
        </w:rPr>
        <w:t>% y 9</w:t>
      </w:r>
      <w:r w:rsidR="006E77B9" w:rsidRPr="007F03BF">
        <w:rPr>
          <w:rFonts w:ascii="Arial" w:hAnsi="Arial" w:cs="Arial"/>
          <w:color w:val="000000" w:themeColor="text1"/>
        </w:rPr>
        <w:t>6.59</w:t>
      </w:r>
      <w:r w:rsidRPr="007F03BF">
        <w:rPr>
          <w:rFonts w:ascii="Arial" w:hAnsi="Arial" w:cs="Arial"/>
          <w:color w:val="000000" w:themeColor="text1"/>
        </w:rPr>
        <w:t xml:space="preserve">%, respectivamente. </w:t>
      </w:r>
    </w:p>
    <w:p w14:paraId="64BD00E8"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41D8C30F"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1A6622" w:rsidRPr="007F03BF" w14:paraId="2C05F495" w14:textId="77777777" w:rsidTr="008C4FD7">
        <w:trPr>
          <w:tblHeader/>
        </w:trPr>
        <w:tc>
          <w:tcPr>
            <w:tcW w:w="3659" w:type="dxa"/>
            <w:shd w:val="clear" w:color="auto" w:fill="70AD47" w:themeFill="accent6"/>
            <w:vAlign w:val="center"/>
          </w:tcPr>
          <w:p w14:paraId="33BFFD2D" w14:textId="77777777" w:rsidR="001A6622" w:rsidRPr="007F03BF" w:rsidRDefault="001A6622"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Artículo</w:t>
            </w:r>
          </w:p>
        </w:tc>
        <w:tc>
          <w:tcPr>
            <w:tcW w:w="2148" w:type="dxa"/>
            <w:shd w:val="clear" w:color="auto" w:fill="70AD47" w:themeFill="accent6"/>
            <w:vAlign w:val="center"/>
          </w:tcPr>
          <w:p w14:paraId="6760824F" w14:textId="0884AEFC" w:rsidR="001A6622" w:rsidRPr="007F03BF" w:rsidRDefault="001A6622"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 xml:space="preserve">ICP – </w:t>
            </w:r>
            <w:r w:rsidR="00B2542B" w:rsidRPr="007F03BF">
              <w:rPr>
                <w:rFonts w:ascii="Arial" w:hAnsi="Arial" w:cs="Arial"/>
                <w:b/>
                <w:bCs/>
                <w:color w:val="000000" w:themeColor="text1"/>
                <w:sz w:val="20"/>
                <w:szCs w:val="20"/>
              </w:rPr>
              <w:t>2</w:t>
            </w:r>
            <w:r w:rsidRPr="007F03BF">
              <w:rPr>
                <w:rFonts w:ascii="Arial" w:hAnsi="Arial" w:cs="Arial"/>
                <w:b/>
                <w:bCs/>
                <w:color w:val="000000" w:themeColor="text1"/>
                <w:sz w:val="20"/>
                <w:szCs w:val="20"/>
              </w:rPr>
              <w:t>ª Evaluación</w:t>
            </w:r>
            <w:r w:rsidR="00B2542B" w:rsidRPr="007F03BF">
              <w:rPr>
                <w:rFonts w:ascii="Arial" w:hAnsi="Arial" w:cs="Arial"/>
                <w:b/>
                <w:bCs/>
                <w:color w:val="000000" w:themeColor="text1"/>
                <w:sz w:val="20"/>
                <w:szCs w:val="20"/>
              </w:rPr>
              <w:t xml:space="preserve"> 20</w:t>
            </w:r>
            <w:r w:rsidR="00D47F3C" w:rsidRPr="007F03BF">
              <w:rPr>
                <w:rFonts w:ascii="Arial" w:hAnsi="Arial" w:cs="Arial"/>
                <w:b/>
                <w:bCs/>
                <w:color w:val="000000" w:themeColor="text1"/>
                <w:sz w:val="20"/>
                <w:szCs w:val="20"/>
              </w:rPr>
              <w:t>19</w:t>
            </w:r>
          </w:p>
        </w:tc>
        <w:tc>
          <w:tcPr>
            <w:tcW w:w="2092" w:type="dxa"/>
            <w:shd w:val="clear" w:color="auto" w:fill="70AD47" w:themeFill="accent6"/>
            <w:vAlign w:val="center"/>
          </w:tcPr>
          <w:p w14:paraId="7C73FE2B" w14:textId="26FDEADC" w:rsidR="001A6622" w:rsidRPr="007F03BF" w:rsidRDefault="001A6622"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 xml:space="preserve">ICP – </w:t>
            </w:r>
            <w:r w:rsidR="00B2542B" w:rsidRPr="007F03BF">
              <w:rPr>
                <w:rFonts w:ascii="Arial" w:hAnsi="Arial" w:cs="Arial"/>
                <w:b/>
                <w:bCs/>
                <w:color w:val="000000" w:themeColor="text1"/>
                <w:sz w:val="20"/>
                <w:szCs w:val="20"/>
              </w:rPr>
              <w:t>1</w:t>
            </w:r>
            <w:r w:rsidRPr="007F03BF">
              <w:rPr>
                <w:rFonts w:ascii="Arial" w:hAnsi="Arial" w:cs="Arial"/>
                <w:b/>
                <w:bCs/>
                <w:color w:val="000000" w:themeColor="text1"/>
                <w:sz w:val="20"/>
                <w:szCs w:val="20"/>
              </w:rPr>
              <w:t>ª Evaluación</w:t>
            </w:r>
            <w:r w:rsidR="00B2542B" w:rsidRPr="007F03BF">
              <w:rPr>
                <w:rFonts w:ascii="Arial" w:hAnsi="Arial" w:cs="Arial"/>
                <w:b/>
                <w:bCs/>
                <w:color w:val="000000" w:themeColor="text1"/>
                <w:sz w:val="20"/>
                <w:szCs w:val="20"/>
              </w:rPr>
              <w:t xml:space="preserve"> 20</w:t>
            </w:r>
            <w:r w:rsidR="00D47F3C" w:rsidRPr="007F03BF">
              <w:rPr>
                <w:rFonts w:ascii="Arial" w:hAnsi="Arial" w:cs="Arial"/>
                <w:b/>
                <w:bCs/>
                <w:color w:val="000000" w:themeColor="text1"/>
                <w:sz w:val="20"/>
                <w:szCs w:val="20"/>
              </w:rPr>
              <w:t>20</w:t>
            </w:r>
          </w:p>
        </w:tc>
        <w:tc>
          <w:tcPr>
            <w:tcW w:w="920" w:type="dxa"/>
            <w:gridSpan w:val="2"/>
            <w:shd w:val="clear" w:color="auto" w:fill="70AD47" w:themeFill="accent6"/>
            <w:vAlign w:val="center"/>
          </w:tcPr>
          <w:p w14:paraId="08EA9FED" w14:textId="77777777" w:rsidR="001A6622" w:rsidRPr="007F03BF" w:rsidRDefault="001A6622"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396C5A" w:rsidRPr="007F03BF" w14:paraId="74246478" w14:textId="77777777" w:rsidTr="00396C5A">
        <w:tc>
          <w:tcPr>
            <w:tcW w:w="3659" w:type="dxa"/>
          </w:tcPr>
          <w:p w14:paraId="7B84B56B" w14:textId="77777777" w:rsidR="00396C5A" w:rsidRPr="007F03BF" w:rsidRDefault="00396C5A" w:rsidP="00396C5A">
            <w:pPr>
              <w:spacing w:before="100" w:beforeAutospacing="1" w:after="100" w:afterAutospacing="1" w:line="360" w:lineRule="auto"/>
              <w:contextualSpacing/>
              <w:rPr>
                <w:rFonts w:ascii="Arial" w:hAnsi="Arial" w:cs="Arial"/>
                <w:b/>
                <w:bCs/>
                <w:color w:val="000000" w:themeColor="text1"/>
                <w:sz w:val="20"/>
                <w:szCs w:val="20"/>
              </w:rPr>
            </w:pPr>
            <w:r w:rsidRPr="007F03BF">
              <w:rPr>
                <w:rFonts w:ascii="Arial" w:hAnsi="Arial" w:cs="Arial"/>
                <w:b/>
                <w:bCs/>
                <w:color w:val="000000" w:themeColor="text1"/>
                <w:sz w:val="20"/>
                <w:szCs w:val="20"/>
              </w:rPr>
              <w:t>121 – Obligaciones Comunes</w:t>
            </w:r>
          </w:p>
        </w:tc>
        <w:tc>
          <w:tcPr>
            <w:tcW w:w="2148" w:type="dxa"/>
            <w:vAlign w:val="center"/>
          </w:tcPr>
          <w:p w14:paraId="2D30BA0A" w14:textId="77777777" w:rsidR="00396C5A" w:rsidRPr="007F03BF" w:rsidRDefault="00396C5A" w:rsidP="00396C5A">
            <w:pPr>
              <w:jc w:val="center"/>
              <w:rPr>
                <w:rFonts w:ascii="Arial" w:hAnsi="Arial" w:cs="Arial"/>
                <w:color w:val="000000"/>
                <w:sz w:val="20"/>
                <w:szCs w:val="20"/>
              </w:rPr>
            </w:pPr>
            <w:r w:rsidRPr="007F03BF">
              <w:rPr>
                <w:rFonts w:ascii="Arial" w:hAnsi="Arial" w:cs="Arial"/>
                <w:color w:val="000000"/>
                <w:sz w:val="20"/>
                <w:szCs w:val="20"/>
              </w:rPr>
              <w:t>96.31</w:t>
            </w:r>
          </w:p>
        </w:tc>
        <w:tc>
          <w:tcPr>
            <w:tcW w:w="2104" w:type="dxa"/>
            <w:gridSpan w:val="2"/>
            <w:vAlign w:val="center"/>
          </w:tcPr>
          <w:p w14:paraId="415DE853" w14:textId="77777777" w:rsidR="00396C5A" w:rsidRPr="007F03BF" w:rsidRDefault="00396C5A" w:rsidP="00396C5A">
            <w:pPr>
              <w:ind w:firstLineChars="100" w:firstLine="220"/>
              <w:jc w:val="center"/>
              <w:rPr>
                <w:rFonts w:ascii="Calibri" w:hAnsi="Calibri"/>
                <w:color w:val="000000"/>
              </w:rPr>
            </w:pPr>
            <w:r w:rsidRPr="007F03BF">
              <w:rPr>
                <w:rFonts w:ascii="Calibri" w:hAnsi="Calibri"/>
                <w:color w:val="000000"/>
              </w:rPr>
              <w:t>97.79</w:t>
            </w:r>
          </w:p>
        </w:tc>
        <w:tc>
          <w:tcPr>
            <w:tcW w:w="908" w:type="dxa"/>
            <w:vAlign w:val="center"/>
          </w:tcPr>
          <w:p w14:paraId="4AA6980F" w14:textId="77777777" w:rsidR="00396C5A" w:rsidRPr="007F03BF" w:rsidRDefault="00396C5A" w:rsidP="00396C5A">
            <w:pPr>
              <w:jc w:val="center"/>
              <w:rPr>
                <w:rFonts w:ascii="Calibri" w:hAnsi="Calibri"/>
                <w:color w:val="000000"/>
              </w:rPr>
            </w:pPr>
            <w:r w:rsidRPr="007F03BF">
              <w:rPr>
                <w:rFonts w:ascii="Calibri" w:hAnsi="Calibri"/>
                <w:color w:val="000000"/>
              </w:rPr>
              <w:t>1.48</w:t>
            </w:r>
          </w:p>
        </w:tc>
      </w:tr>
      <w:tr w:rsidR="00396C5A" w:rsidRPr="007F03BF" w14:paraId="05D516F8" w14:textId="77777777" w:rsidTr="00396C5A">
        <w:tc>
          <w:tcPr>
            <w:tcW w:w="3659" w:type="dxa"/>
          </w:tcPr>
          <w:p w14:paraId="332F3473" w14:textId="77777777" w:rsidR="00396C5A" w:rsidRPr="007F03BF" w:rsidRDefault="00396C5A" w:rsidP="00396C5A">
            <w:pPr>
              <w:spacing w:before="100" w:beforeAutospacing="1" w:after="100" w:afterAutospacing="1" w:line="360" w:lineRule="auto"/>
              <w:contextualSpacing/>
              <w:rPr>
                <w:rFonts w:ascii="Arial" w:hAnsi="Arial" w:cs="Arial"/>
                <w:b/>
                <w:bCs/>
                <w:color w:val="000000" w:themeColor="text1"/>
                <w:sz w:val="20"/>
                <w:szCs w:val="20"/>
              </w:rPr>
            </w:pPr>
            <w:r w:rsidRPr="007F03BF">
              <w:rPr>
                <w:rFonts w:ascii="Arial" w:hAnsi="Arial" w:cs="Arial"/>
                <w:b/>
                <w:bCs/>
                <w:color w:val="000000" w:themeColor="text1"/>
                <w:sz w:val="20"/>
                <w:szCs w:val="20"/>
              </w:rPr>
              <w:lastRenderedPageBreak/>
              <w:t>122 – Obligaciones Comunes</w:t>
            </w:r>
          </w:p>
        </w:tc>
        <w:tc>
          <w:tcPr>
            <w:tcW w:w="2148" w:type="dxa"/>
            <w:vAlign w:val="center"/>
          </w:tcPr>
          <w:p w14:paraId="34FBE623" w14:textId="77777777" w:rsidR="00396C5A" w:rsidRPr="007F03BF" w:rsidRDefault="00396C5A" w:rsidP="00396C5A">
            <w:pPr>
              <w:jc w:val="center"/>
              <w:rPr>
                <w:rFonts w:ascii="Arial" w:hAnsi="Arial" w:cs="Arial"/>
                <w:color w:val="000000"/>
                <w:sz w:val="20"/>
                <w:szCs w:val="20"/>
              </w:rPr>
            </w:pPr>
            <w:r w:rsidRPr="007F03BF">
              <w:rPr>
                <w:rFonts w:ascii="Arial" w:hAnsi="Arial" w:cs="Arial"/>
                <w:color w:val="000000"/>
                <w:sz w:val="20"/>
                <w:szCs w:val="20"/>
              </w:rPr>
              <w:t>99.32</w:t>
            </w:r>
          </w:p>
        </w:tc>
        <w:tc>
          <w:tcPr>
            <w:tcW w:w="2104" w:type="dxa"/>
            <w:gridSpan w:val="2"/>
            <w:vAlign w:val="center"/>
          </w:tcPr>
          <w:p w14:paraId="3EB895B2" w14:textId="77777777" w:rsidR="00396C5A" w:rsidRPr="007F03BF" w:rsidRDefault="00396C5A" w:rsidP="00396C5A">
            <w:pPr>
              <w:ind w:firstLineChars="100" w:firstLine="220"/>
              <w:jc w:val="center"/>
              <w:rPr>
                <w:rFonts w:ascii="Calibri" w:hAnsi="Calibri"/>
                <w:color w:val="000000"/>
              </w:rPr>
            </w:pPr>
            <w:r w:rsidRPr="007F03BF">
              <w:rPr>
                <w:rFonts w:ascii="Calibri" w:hAnsi="Calibri"/>
                <w:color w:val="000000"/>
              </w:rPr>
              <w:t>99.91</w:t>
            </w:r>
          </w:p>
        </w:tc>
        <w:tc>
          <w:tcPr>
            <w:tcW w:w="908" w:type="dxa"/>
            <w:vAlign w:val="center"/>
          </w:tcPr>
          <w:p w14:paraId="4A53A45B" w14:textId="77777777" w:rsidR="00396C5A" w:rsidRPr="007F03BF" w:rsidRDefault="00396C5A" w:rsidP="00396C5A">
            <w:pPr>
              <w:jc w:val="center"/>
              <w:rPr>
                <w:rFonts w:ascii="Calibri" w:hAnsi="Calibri"/>
                <w:color w:val="000000"/>
              </w:rPr>
            </w:pPr>
            <w:r w:rsidRPr="007F03BF">
              <w:rPr>
                <w:rFonts w:ascii="Calibri" w:hAnsi="Calibri"/>
                <w:color w:val="000000"/>
              </w:rPr>
              <w:t>0.59</w:t>
            </w:r>
          </w:p>
        </w:tc>
      </w:tr>
      <w:tr w:rsidR="00396C5A" w:rsidRPr="007F03BF" w14:paraId="06B4AD5C" w14:textId="77777777" w:rsidTr="00396C5A">
        <w:tc>
          <w:tcPr>
            <w:tcW w:w="3659" w:type="dxa"/>
          </w:tcPr>
          <w:p w14:paraId="5ADEEEC0" w14:textId="77777777" w:rsidR="00396C5A" w:rsidRPr="007F03BF" w:rsidRDefault="00396C5A" w:rsidP="00396C5A">
            <w:pPr>
              <w:spacing w:before="100" w:beforeAutospacing="1" w:after="100" w:afterAutospacing="1" w:line="360" w:lineRule="auto"/>
              <w:contextualSpacing/>
              <w:rPr>
                <w:rFonts w:ascii="Arial" w:hAnsi="Arial" w:cs="Arial"/>
                <w:b/>
                <w:bCs/>
                <w:color w:val="000000" w:themeColor="text1"/>
                <w:sz w:val="20"/>
                <w:szCs w:val="20"/>
              </w:rPr>
            </w:pPr>
            <w:r w:rsidRPr="007F03BF">
              <w:rPr>
                <w:rFonts w:ascii="Arial" w:hAnsi="Arial" w:cs="Arial"/>
                <w:b/>
                <w:bCs/>
                <w:color w:val="000000" w:themeColor="text1"/>
                <w:sz w:val="20"/>
                <w:szCs w:val="20"/>
              </w:rPr>
              <w:t>123 – Obligaciones Específicas del Poder Ejecutivo</w:t>
            </w:r>
          </w:p>
        </w:tc>
        <w:tc>
          <w:tcPr>
            <w:tcW w:w="2148" w:type="dxa"/>
            <w:vAlign w:val="center"/>
          </w:tcPr>
          <w:p w14:paraId="357A209B" w14:textId="77777777" w:rsidR="00396C5A" w:rsidRPr="007F03BF" w:rsidRDefault="00396C5A" w:rsidP="00396C5A">
            <w:pPr>
              <w:jc w:val="center"/>
              <w:rPr>
                <w:rFonts w:ascii="Arial" w:hAnsi="Arial" w:cs="Arial"/>
                <w:color w:val="000000"/>
                <w:sz w:val="20"/>
                <w:szCs w:val="20"/>
              </w:rPr>
            </w:pPr>
            <w:r w:rsidRPr="007F03BF">
              <w:rPr>
                <w:rFonts w:ascii="Arial" w:hAnsi="Arial" w:cs="Arial"/>
                <w:color w:val="000000"/>
                <w:sz w:val="20"/>
                <w:szCs w:val="20"/>
              </w:rPr>
              <w:t>97.14</w:t>
            </w:r>
          </w:p>
        </w:tc>
        <w:tc>
          <w:tcPr>
            <w:tcW w:w="2104" w:type="dxa"/>
            <w:gridSpan w:val="2"/>
            <w:vAlign w:val="center"/>
          </w:tcPr>
          <w:p w14:paraId="2941A085" w14:textId="77777777" w:rsidR="00396C5A" w:rsidRPr="007F03BF" w:rsidRDefault="00396C5A" w:rsidP="00396C5A">
            <w:pPr>
              <w:ind w:firstLineChars="100" w:firstLine="220"/>
              <w:jc w:val="center"/>
              <w:rPr>
                <w:rFonts w:ascii="Calibri" w:hAnsi="Calibri"/>
                <w:color w:val="000000"/>
              </w:rPr>
            </w:pPr>
            <w:r w:rsidRPr="007F03BF">
              <w:rPr>
                <w:rFonts w:ascii="Calibri" w:hAnsi="Calibri"/>
                <w:color w:val="000000"/>
              </w:rPr>
              <w:t>96.92</w:t>
            </w:r>
          </w:p>
        </w:tc>
        <w:tc>
          <w:tcPr>
            <w:tcW w:w="908" w:type="dxa"/>
            <w:vAlign w:val="center"/>
          </w:tcPr>
          <w:p w14:paraId="55B7C95C" w14:textId="77777777" w:rsidR="00396C5A" w:rsidRPr="007F03BF" w:rsidRDefault="00396C5A" w:rsidP="00396C5A">
            <w:pPr>
              <w:jc w:val="center"/>
              <w:rPr>
                <w:rFonts w:ascii="Calibri" w:hAnsi="Calibri"/>
                <w:color w:val="000000"/>
              </w:rPr>
            </w:pPr>
            <w:r w:rsidRPr="007F03BF">
              <w:rPr>
                <w:rFonts w:ascii="Calibri" w:hAnsi="Calibri"/>
                <w:color w:val="000000"/>
              </w:rPr>
              <w:t>-0.22</w:t>
            </w:r>
          </w:p>
        </w:tc>
      </w:tr>
      <w:tr w:rsidR="00396C5A" w:rsidRPr="007F03BF" w14:paraId="59E0B4AB" w14:textId="77777777" w:rsidTr="00396C5A">
        <w:tc>
          <w:tcPr>
            <w:tcW w:w="3659" w:type="dxa"/>
          </w:tcPr>
          <w:p w14:paraId="5C6B5B37" w14:textId="77777777" w:rsidR="00396C5A" w:rsidRPr="007F03BF" w:rsidRDefault="00396C5A" w:rsidP="00396C5A">
            <w:pPr>
              <w:spacing w:before="100" w:beforeAutospacing="1" w:after="100" w:afterAutospacing="1" w:line="360" w:lineRule="auto"/>
              <w:contextualSpacing/>
              <w:rPr>
                <w:rFonts w:ascii="Arial" w:hAnsi="Arial" w:cs="Arial"/>
                <w:b/>
                <w:bCs/>
                <w:color w:val="000000" w:themeColor="text1"/>
                <w:sz w:val="20"/>
                <w:szCs w:val="20"/>
              </w:rPr>
            </w:pPr>
            <w:r w:rsidRPr="007F03BF">
              <w:rPr>
                <w:rFonts w:ascii="Arial" w:hAnsi="Arial" w:cs="Arial"/>
                <w:b/>
                <w:bCs/>
                <w:color w:val="000000" w:themeColor="text1"/>
                <w:sz w:val="20"/>
                <w:szCs w:val="20"/>
              </w:rPr>
              <w:t xml:space="preserve">143 – Obra Pública </w:t>
            </w:r>
          </w:p>
        </w:tc>
        <w:tc>
          <w:tcPr>
            <w:tcW w:w="2148" w:type="dxa"/>
            <w:vAlign w:val="center"/>
          </w:tcPr>
          <w:p w14:paraId="1D97410C" w14:textId="77777777" w:rsidR="00396C5A" w:rsidRPr="007F03BF" w:rsidRDefault="00396C5A" w:rsidP="00396C5A">
            <w:pPr>
              <w:jc w:val="center"/>
              <w:rPr>
                <w:rFonts w:ascii="Arial" w:hAnsi="Arial" w:cs="Arial"/>
                <w:color w:val="000000"/>
                <w:sz w:val="20"/>
                <w:szCs w:val="20"/>
              </w:rPr>
            </w:pPr>
            <w:r w:rsidRPr="007F03BF">
              <w:rPr>
                <w:rFonts w:ascii="Arial" w:hAnsi="Arial" w:cs="Arial"/>
                <w:color w:val="000000"/>
                <w:sz w:val="20"/>
                <w:szCs w:val="20"/>
              </w:rPr>
              <w:t>97.5</w:t>
            </w:r>
          </w:p>
        </w:tc>
        <w:tc>
          <w:tcPr>
            <w:tcW w:w="2104" w:type="dxa"/>
            <w:gridSpan w:val="2"/>
            <w:vAlign w:val="center"/>
          </w:tcPr>
          <w:p w14:paraId="4EA72AB2" w14:textId="77777777" w:rsidR="00396C5A" w:rsidRPr="007F03BF" w:rsidRDefault="00396C5A" w:rsidP="00396C5A">
            <w:pPr>
              <w:ind w:firstLineChars="100" w:firstLine="220"/>
              <w:jc w:val="center"/>
              <w:rPr>
                <w:rFonts w:ascii="Calibri" w:hAnsi="Calibri"/>
                <w:color w:val="000000"/>
              </w:rPr>
            </w:pPr>
            <w:r w:rsidRPr="007F03BF">
              <w:rPr>
                <w:rFonts w:ascii="Calibri" w:hAnsi="Calibri"/>
                <w:color w:val="000000"/>
              </w:rPr>
              <w:t>100.</w:t>
            </w:r>
          </w:p>
        </w:tc>
        <w:tc>
          <w:tcPr>
            <w:tcW w:w="908" w:type="dxa"/>
            <w:vAlign w:val="center"/>
          </w:tcPr>
          <w:p w14:paraId="7E1DD77C" w14:textId="77777777" w:rsidR="00396C5A" w:rsidRPr="007F03BF" w:rsidRDefault="00396C5A" w:rsidP="00396C5A">
            <w:pPr>
              <w:jc w:val="center"/>
              <w:rPr>
                <w:rFonts w:ascii="Calibri" w:hAnsi="Calibri"/>
                <w:color w:val="000000"/>
              </w:rPr>
            </w:pPr>
            <w:r w:rsidRPr="007F03BF">
              <w:rPr>
                <w:rFonts w:ascii="Calibri" w:hAnsi="Calibri"/>
                <w:color w:val="000000"/>
              </w:rPr>
              <w:t>2.50</w:t>
            </w:r>
          </w:p>
        </w:tc>
      </w:tr>
      <w:tr w:rsidR="00396C5A" w:rsidRPr="007F03BF" w14:paraId="5C241A58" w14:textId="77777777" w:rsidTr="00396C5A">
        <w:tc>
          <w:tcPr>
            <w:tcW w:w="3659" w:type="dxa"/>
          </w:tcPr>
          <w:p w14:paraId="1C7FF172" w14:textId="77777777" w:rsidR="00396C5A" w:rsidRPr="007F03BF" w:rsidRDefault="00396C5A" w:rsidP="00396C5A">
            <w:pPr>
              <w:spacing w:before="100" w:beforeAutospacing="1" w:after="100" w:afterAutospacing="1" w:line="360" w:lineRule="auto"/>
              <w:contextualSpacing/>
              <w:rPr>
                <w:rFonts w:ascii="Arial" w:hAnsi="Arial" w:cs="Arial"/>
                <w:b/>
                <w:bCs/>
                <w:color w:val="000000" w:themeColor="text1"/>
                <w:sz w:val="20"/>
                <w:szCs w:val="20"/>
              </w:rPr>
            </w:pPr>
            <w:r w:rsidRPr="007F03BF">
              <w:rPr>
                <w:rFonts w:ascii="Arial" w:hAnsi="Arial" w:cs="Arial"/>
                <w:b/>
                <w:bCs/>
                <w:color w:val="000000" w:themeColor="text1"/>
                <w:sz w:val="20"/>
                <w:szCs w:val="20"/>
              </w:rPr>
              <w:t>145 – Portal de Transparencia</w:t>
            </w:r>
          </w:p>
        </w:tc>
        <w:tc>
          <w:tcPr>
            <w:tcW w:w="2148" w:type="dxa"/>
            <w:vAlign w:val="center"/>
          </w:tcPr>
          <w:p w14:paraId="735E5669" w14:textId="77777777" w:rsidR="00396C5A" w:rsidRPr="007F03BF" w:rsidRDefault="00396C5A" w:rsidP="00396C5A">
            <w:pPr>
              <w:jc w:val="center"/>
              <w:rPr>
                <w:rFonts w:ascii="Arial" w:hAnsi="Arial" w:cs="Arial"/>
                <w:color w:val="000000"/>
                <w:sz w:val="20"/>
                <w:szCs w:val="20"/>
              </w:rPr>
            </w:pPr>
            <w:r w:rsidRPr="007F03BF">
              <w:rPr>
                <w:rFonts w:ascii="Arial" w:hAnsi="Arial" w:cs="Arial"/>
                <w:color w:val="000000"/>
                <w:sz w:val="20"/>
                <w:szCs w:val="20"/>
              </w:rPr>
              <w:t>97.55</w:t>
            </w:r>
          </w:p>
        </w:tc>
        <w:tc>
          <w:tcPr>
            <w:tcW w:w="2104" w:type="dxa"/>
            <w:gridSpan w:val="2"/>
            <w:vAlign w:val="center"/>
          </w:tcPr>
          <w:p w14:paraId="0525FC99" w14:textId="77777777" w:rsidR="00396C5A" w:rsidRPr="007F03BF" w:rsidRDefault="00396C5A" w:rsidP="00396C5A">
            <w:pPr>
              <w:ind w:firstLineChars="100" w:firstLine="220"/>
              <w:jc w:val="center"/>
              <w:rPr>
                <w:rFonts w:ascii="Calibri" w:hAnsi="Calibri"/>
                <w:color w:val="000000"/>
              </w:rPr>
            </w:pPr>
            <w:r w:rsidRPr="007F03BF">
              <w:rPr>
                <w:rFonts w:ascii="Calibri" w:hAnsi="Calibri"/>
                <w:color w:val="000000"/>
              </w:rPr>
              <w:t>99.38</w:t>
            </w:r>
          </w:p>
        </w:tc>
        <w:tc>
          <w:tcPr>
            <w:tcW w:w="908" w:type="dxa"/>
            <w:vAlign w:val="center"/>
          </w:tcPr>
          <w:p w14:paraId="1D583634" w14:textId="77777777" w:rsidR="00396C5A" w:rsidRPr="007F03BF" w:rsidRDefault="00396C5A" w:rsidP="00396C5A">
            <w:pPr>
              <w:jc w:val="center"/>
              <w:rPr>
                <w:rFonts w:ascii="Calibri" w:hAnsi="Calibri"/>
                <w:color w:val="000000"/>
              </w:rPr>
            </w:pPr>
            <w:r w:rsidRPr="007F03BF">
              <w:rPr>
                <w:rFonts w:ascii="Calibri" w:hAnsi="Calibri"/>
                <w:color w:val="000000"/>
              </w:rPr>
              <w:t>1.83</w:t>
            </w:r>
          </w:p>
        </w:tc>
      </w:tr>
      <w:tr w:rsidR="00396C5A" w:rsidRPr="007F03BF" w14:paraId="0F470557" w14:textId="77777777" w:rsidTr="00396C5A">
        <w:tc>
          <w:tcPr>
            <w:tcW w:w="3659" w:type="dxa"/>
          </w:tcPr>
          <w:p w14:paraId="7013774F" w14:textId="77777777" w:rsidR="00396C5A" w:rsidRPr="007F03BF" w:rsidRDefault="00396C5A" w:rsidP="00396C5A">
            <w:pPr>
              <w:spacing w:before="100" w:beforeAutospacing="1" w:after="100" w:afterAutospacing="1" w:line="360" w:lineRule="auto"/>
              <w:contextualSpacing/>
              <w:rPr>
                <w:rFonts w:ascii="Arial" w:hAnsi="Arial" w:cs="Arial"/>
                <w:b/>
                <w:bCs/>
                <w:color w:val="000000" w:themeColor="text1"/>
                <w:sz w:val="20"/>
                <w:szCs w:val="20"/>
              </w:rPr>
            </w:pPr>
            <w:r w:rsidRPr="007F03BF">
              <w:rPr>
                <w:rFonts w:ascii="Arial" w:hAnsi="Arial" w:cs="Arial"/>
                <w:b/>
                <w:bCs/>
                <w:color w:val="000000" w:themeColor="text1"/>
                <w:sz w:val="20"/>
                <w:szCs w:val="20"/>
              </w:rPr>
              <w:t>146 – Calendario de actualización</w:t>
            </w:r>
          </w:p>
        </w:tc>
        <w:tc>
          <w:tcPr>
            <w:tcW w:w="2148" w:type="dxa"/>
            <w:vAlign w:val="center"/>
          </w:tcPr>
          <w:p w14:paraId="35D50DA2" w14:textId="77777777" w:rsidR="00396C5A" w:rsidRPr="007F03BF" w:rsidRDefault="00396C5A" w:rsidP="00396C5A">
            <w:pPr>
              <w:jc w:val="center"/>
              <w:rPr>
                <w:rFonts w:ascii="Arial" w:hAnsi="Arial" w:cs="Arial"/>
                <w:color w:val="000000"/>
                <w:sz w:val="20"/>
                <w:szCs w:val="20"/>
              </w:rPr>
            </w:pPr>
            <w:r w:rsidRPr="007F03BF">
              <w:rPr>
                <w:rFonts w:ascii="Arial" w:hAnsi="Arial" w:cs="Arial"/>
                <w:color w:val="000000"/>
                <w:sz w:val="20"/>
                <w:szCs w:val="20"/>
              </w:rPr>
              <w:t>87.17</w:t>
            </w:r>
          </w:p>
        </w:tc>
        <w:tc>
          <w:tcPr>
            <w:tcW w:w="2104" w:type="dxa"/>
            <w:gridSpan w:val="2"/>
            <w:vAlign w:val="center"/>
          </w:tcPr>
          <w:p w14:paraId="4978C41C" w14:textId="77777777" w:rsidR="00396C5A" w:rsidRPr="007F03BF" w:rsidRDefault="00396C5A" w:rsidP="00396C5A">
            <w:pPr>
              <w:ind w:firstLineChars="100" w:firstLine="220"/>
              <w:jc w:val="center"/>
              <w:rPr>
                <w:rFonts w:ascii="Calibri" w:hAnsi="Calibri"/>
                <w:color w:val="000000"/>
              </w:rPr>
            </w:pPr>
            <w:r w:rsidRPr="007F03BF">
              <w:rPr>
                <w:rFonts w:ascii="Calibri" w:hAnsi="Calibri"/>
                <w:color w:val="000000"/>
              </w:rPr>
              <w:t>86.84</w:t>
            </w:r>
          </w:p>
        </w:tc>
        <w:tc>
          <w:tcPr>
            <w:tcW w:w="908" w:type="dxa"/>
            <w:vAlign w:val="center"/>
          </w:tcPr>
          <w:p w14:paraId="39085238" w14:textId="77777777" w:rsidR="00396C5A" w:rsidRPr="007F03BF" w:rsidRDefault="00396C5A" w:rsidP="00396C5A">
            <w:pPr>
              <w:jc w:val="center"/>
              <w:rPr>
                <w:rFonts w:ascii="Calibri" w:hAnsi="Calibri"/>
                <w:color w:val="000000"/>
              </w:rPr>
            </w:pPr>
            <w:r w:rsidRPr="007F03BF">
              <w:rPr>
                <w:rFonts w:ascii="Calibri" w:hAnsi="Calibri"/>
                <w:color w:val="000000"/>
              </w:rPr>
              <w:t>-0.33</w:t>
            </w:r>
          </w:p>
        </w:tc>
      </w:tr>
      <w:tr w:rsidR="00396C5A" w:rsidRPr="007F03BF" w14:paraId="6BEADDD0" w14:textId="77777777" w:rsidTr="00396C5A">
        <w:tc>
          <w:tcPr>
            <w:tcW w:w="3659" w:type="dxa"/>
          </w:tcPr>
          <w:p w14:paraId="32A489A9" w14:textId="77777777" w:rsidR="00396C5A" w:rsidRPr="007F03BF" w:rsidRDefault="00396C5A" w:rsidP="00396C5A">
            <w:pPr>
              <w:spacing w:before="100" w:beforeAutospacing="1" w:after="100" w:afterAutospacing="1" w:line="360" w:lineRule="auto"/>
              <w:contextualSpacing/>
              <w:rPr>
                <w:rFonts w:ascii="Arial" w:hAnsi="Arial" w:cs="Arial"/>
                <w:b/>
                <w:bCs/>
                <w:color w:val="000000" w:themeColor="text1"/>
                <w:sz w:val="20"/>
                <w:szCs w:val="20"/>
              </w:rPr>
            </w:pPr>
            <w:r w:rsidRPr="007F03BF">
              <w:rPr>
                <w:rFonts w:ascii="Arial" w:hAnsi="Arial" w:cs="Arial"/>
                <w:b/>
                <w:bCs/>
                <w:color w:val="000000" w:themeColor="text1"/>
                <w:sz w:val="20"/>
                <w:szCs w:val="20"/>
              </w:rPr>
              <w:t xml:space="preserve">147 – Informes respecto de recursos otorgados por el sujeto obligado a terceros </w:t>
            </w:r>
          </w:p>
        </w:tc>
        <w:tc>
          <w:tcPr>
            <w:tcW w:w="2148" w:type="dxa"/>
            <w:vAlign w:val="center"/>
          </w:tcPr>
          <w:p w14:paraId="6D41F4EE" w14:textId="77777777" w:rsidR="00396C5A" w:rsidRPr="007F03BF" w:rsidRDefault="00396C5A" w:rsidP="00396C5A">
            <w:pPr>
              <w:jc w:val="center"/>
              <w:rPr>
                <w:rFonts w:ascii="Arial" w:hAnsi="Arial" w:cs="Arial"/>
                <w:color w:val="000000"/>
                <w:sz w:val="20"/>
                <w:szCs w:val="20"/>
              </w:rPr>
            </w:pPr>
            <w:r w:rsidRPr="007F03BF">
              <w:rPr>
                <w:rFonts w:ascii="Arial" w:hAnsi="Arial" w:cs="Arial"/>
                <w:color w:val="000000"/>
                <w:sz w:val="20"/>
                <w:szCs w:val="20"/>
              </w:rPr>
              <w:t>92.78</w:t>
            </w:r>
          </w:p>
        </w:tc>
        <w:tc>
          <w:tcPr>
            <w:tcW w:w="2104" w:type="dxa"/>
            <w:gridSpan w:val="2"/>
            <w:vAlign w:val="center"/>
          </w:tcPr>
          <w:p w14:paraId="165E34D1" w14:textId="77777777" w:rsidR="00396C5A" w:rsidRPr="007F03BF" w:rsidRDefault="00396C5A" w:rsidP="00396C5A">
            <w:pPr>
              <w:ind w:firstLineChars="100" w:firstLine="220"/>
              <w:jc w:val="center"/>
              <w:rPr>
                <w:rFonts w:ascii="Calibri" w:hAnsi="Calibri"/>
                <w:color w:val="000000"/>
              </w:rPr>
            </w:pPr>
            <w:r w:rsidRPr="007F03BF">
              <w:rPr>
                <w:rFonts w:ascii="Calibri" w:hAnsi="Calibri"/>
                <w:color w:val="000000"/>
              </w:rPr>
              <w:t>99.79</w:t>
            </w:r>
          </w:p>
        </w:tc>
        <w:tc>
          <w:tcPr>
            <w:tcW w:w="908" w:type="dxa"/>
            <w:vAlign w:val="center"/>
          </w:tcPr>
          <w:p w14:paraId="371CEE33" w14:textId="77777777" w:rsidR="00396C5A" w:rsidRPr="007F03BF" w:rsidRDefault="00396C5A" w:rsidP="00396C5A">
            <w:pPr>
              <w:jc w:val="center"/>
              <w:rPr>
                <w:rFonts w:ascii="Calibri" w:hAnsi="Calibri"/>
                <w:color w:val="000000"/>
              </w:rPr>
            </w:pPr>
            <w:r w:rsidRPr="007F03BF">
              <w:rPr>
                <w:rFonts w:ascii="Calibri" w:hAnsi="Calibri"/>
                <w:color w:val="000000"/>
              </w:rPr>
              <w:t>7.01</w:t>
            </w:r>
          </w:p>
        </w:tc>
      </w:tr>
    </w:tbl>
    <w:p w14:paraId="2C4C52C0"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070F4FAB"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Del comparativo anteriormente plasmado, se puede apreciar que este ámbito tuvo un incremento</w:t>
      </w:r>
      <w:r w:rsidR="00396C5A" w:rsidRPr="007F03BF">
        <w:rPr>
          <w:rFonts w:ascii="Arial" w:hAnsi="Arial" w:cs="Arial"/>
          <w:color w:val="000000" w:themeColor="text1"/>
        </w:rPr>
        <w:t xml:space="preserve"> cinco de</w:t>
      </w:r>
      <w:r w:rsidRPr="007F03BF">
        <w:rPr>
          <w:rFonts w:ascii="Arial" w:hAnsi="Arial" w:cs="Arial"/>
          <w:color w:val="000000" w:themeColor="text1"/>
        </w:rPr>
        <w:t xml:space="preserve"> sus índices por artículo; de igual forma, el ICP de </w:t>
      </w:r>
      <w:r w:rsidR="00396C5A" w:rsidRPr="007F03BF">
        <w:rPr>
          <w:rFonts w:ascii="Arial" w:hAnsi="Arial" w:cs="Arial"/>
          <w:color w:val="000000" w:themeColor="text1"/>
        </w:rPr>
        <w:t xml:space="preserve">un </w:t>
      </w:r>
      <w:r w:rsidRPr="007F03BF">
        <w:rPr>
          <w:rFonts w:ascii="Arial" w:hAnsi="Arial" w:cs="Arial"/>
          <w:color w:val="000000" w:themeColor="text1"/>
        </w:rPr>
        <w:t xml:space="preserve">artículo alcanzó el 100% y </w:t>
      </w:r>
      <w:r w:rsidR="00396C5A" w:rsidRPr="007F03BF">
        <w:rPr>
          <w:rFonts w:ascii="Arial" w:hAnsi="Arial" w:cs="Arial"/>
          <w:color w:val="000000" w:themeColor="text1"/>
        </w:rPr>
        <w:t>el de dos artículos tuvo un decremento en su índice.</w:t>
      </w:r>
      <w:r w:rsidRPr="007F03BF">
        <w:rPr>
          <w:rFonts w:ascii="Arial" w:hAnsi="Arial" w:cs="Arial"/>
          <w:color w:val="000000" w:themeColor="text1"/>
        </w:rPr>
        <w:t xml:space="preserve"> </w:t>
      </w:r>
    </w:p>
    <w:p w14:paraId="71700445"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7160D143"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En lo que respecta a las obligaciones comunes, el artículo 121 pasó de tener un ICP de </w:t>
      </w:r>
      <w:r w:rsidR="00396C5A" w:rsidRPr="007F03BF">
        <w:rPr>
          <w:rFonts w:ascii="Arial" w:hAnsi="Arial" w:cs="Arial"/>
          <w:color w:val="000000" w:themeColor="text1"/>
        </w:rPr>
        <w:t>96.31</w:t>
      </w:r>
      <w:r w:rsidRPr="007F03BF">
        <w:rPr>
          <w:rFonts w:ascii="Arial" w:hAnsi="Arial" w:cs="Arial"/>
          <w:color w:val="000000" w:themeColor="text1"/>
        </w:rPr>
        <w:t>% a uno de 9</w:t>
      </w:r>
      <w:r w:rsidR="00396C5A" w:rsidRPr="007F03BF">
        <w:rPr>
          <w:rFonts w:ascii="Arial" w:hAnsi="Arial" w:cs="Arial"/>
          <w:color w:val="000000" w:themeColor="text1"/>
        </w:rPr>
        <w:t>7.79</w:t>
      </w:r>
      <w:r w:rsidRPr="007F03BF">
        <w:rPr>
          <w:rFonts w:ascii="Arial" w:hAnsi="Arial" w:cs="Arial"/>
          <w:color w:val="000000" w:themeColor="text1"/>
        </w:rPr>
        <w:t xml:space="preserve"> y el artículo 122 de tener un ICP de </w:t>
      </w:r>
      <w:r w:rsidR="00396C5A" w:rsidRPr="007F03BF">
        <w:rPr>
          <w:rFonts w:ascii="Arial" w:hAnsi="Arial" w:cs="Arial"/>
          <w:color w:val="000000" w:themeColor="text1"/>
        </w:rPr>
        <w:t>99.32</w:t>
      </w:r>
      <w:r w:rsidRPr="007F03BF">
        <w:rPr>
          <w:rFonts w:ascii="Arial" w:hAnsi="Arial" w:cs="Arial"/>
          <w:color w:val="000000" w:themeColor="text1"/>
        </w:rPr>
        <w:t>% a u</w:t>
      </w:r>
      <w:r w:rsidR="00396C5A" w:rsidRPr="007F03BF">
        <w:rPr>
          <w:rFonts w:ascii="Arial" w:hAnsi="Arial" w:cs="Arial"/>
          <w:color w:val="000000" w:themeColor="text1"/>
        </w:rPr>
        <w:t>no de 99.91</w:t>
      </w:r>
      <w:r w:rsidRPr="007F03BF">
        <w:rPr>
          <w:rFonts w:ascii="Arial" w:hAnsi="Arial" w:cs="Arial"/>
          <w:color w:val="000000" w:themeColor="text1"/>
        </w:rPr>
        <w:t xml:space="preserve">. Las obligaciones comunes tuvieron un incremento promedio de </w:t>
      </w:r>
      <w:r w:rsidR="00396C5A" w:rsidRPr="007F03BF">
        <w:rPr>
          <w:rFonts w:ascii="Arial" w:hAnsi="Arial" w:cs="Arial"/>
          <w:color w:val="000000" w:themeColor="text1"/>
        </w:rPr>
        <w:t>1.3</w:t>
      </w:r>
      <w:r w:rsidRPr="007F03BF">
        <w:rPr>
          <w:rFonts w:ascii="Arial" w:hAnsi="Arial" w:cs="Arial"/>
          <w:color w:val="000000" w:themeColor="text1"/>
        </w:rPr>
        <w:t xml:space="preserve"> puntos en su índice. </w:t>
      </w:r>
    </w:p>
    <w:p w14:paraId="2A48DD78"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48650E40"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Sobre las obligaciones específicas, la Administración Central tuvo un </w:t>
      </w:r>
      <w:r w:rsidR="00396C5A" w:rsidRPr="007F03BF">
        <w:rPr>
          <w:rFonts w:ascii="Arial" w:hAnsi="Arial" w:cs="Arial"/>
          <w:color w:val="000000" w:themeColor="text1"/>
        </w:rPr>
        <w:t>de</w:t>
      </w:r>
      <w:r w:rsidRPr="007F03BF">
        <w:rPr>
          <w:rFonts w:ascii="Arial" w:hAnsi="Arial" w:cs="Arial"/>
          <w:color w:val="000000" w:themeColor="text1"/>
        </w:rPr>
        <w:t xml:space="preserve">cremento de </w:t>
      </w:r>
      <w:r w:rsidR="00396C5A" w:rsidRPr="007F03BF">
        <w:rPr>
          <w:rFonts w:ascii="Arial" w:hAnsi="Arial" w:cs="Arial"/>
          <w:color w:val="000000" w:themeColor="text1"/>
        </w:rPr>
        <w:t>0.22</w:t>
      </w:r>
      <w:r w:rsidRPr="007F03BF">
        <w:rPr>
          <w:rFonts w:ascii="Arial" w:hAnsi="Arial" w:cs="Arial"/>
          <w:color w:val="000000" w:themeColor="text1"/>
        </w:rPr>
        <w:t xml:space="preserve"> puntos, pasando de un ICP de </w:t>
      </w:r>
      <w:r w:rsidR="00396C5A" w:rsidRPr="007F03BF">
        <w:rPr>
          <w:rFonts w:ascii="Arial" w:hAnsi="Arial" w:cs="Arial"/>
          <w:color w:val="000000" w:themeColor="text1"/>
        </w:rPr>
        <w:t>97.14</w:t>
      </w:r>
      <w:r w:rsidRPr="007F03BF">
        <w:rPr>
          <w:rFonts w:ascii="Arial" w:hAnsi="Arial" w:cs="Arial"/>
          <w:color w:val="000000" w:themeColor="text1"/>
        </w:rPr>
        <w:t xml:space="preserve">% a un ICP de </w:t>
      </w:r>
      <w:r w:rsidR="00396C5A" w:rsidRPr="007F03BF">
        <w:rPr>
          <w:rFonts w:ascii="Arial" w:hAnsi="Arial" w:cs="Arial"/>
          <w:color w:val="000000" w:themeColor="text1"/>
        </w:rPr>
        <w:t>6.92</w:t>
      </w:r>
      <w:r w:rsidRPr="007F03BF">
        <w:rPr>
          <w:rFonts w:ascii="Arial" w:hAnsi="Arial" w:cs="Arial"/>
          <w:color w:val="000000" w:themeColor="text1"/>
        </w:rPr>
        <w:t>%; por lo que aún hay presente</w:t>
      </w:r>
      <w:r w:rsidR="00D71D7B" w:rsidRPr="007F03BF">
        <w:rPr>
          <w:rFonts w:ascii="Arial" w:hAnsi="Arial" w:cs="Arial"/>
          <w:color w:val="000000" w:themeColor="text1"/>
        </w:rPr>
        <w:t>s</w:t>
      </w:r>
      <w:r w:rsidRPr="007F03BF">
        <w:rPr>
          <w:rFonts w:ascii="Arial" w:hAnsi="Arial" w:cs="Arial"/>
          <w:color w:val="000000" w:themeColor="text1"/>
        </w:rPr>
        <w:t xml:space="preserve"> varias áreas de oportunidad que atender por parte de las Secretarías en sus Portales Institucionales y en la Plataforma Nacional de Transparencia. </w:t>
      </w:r>
    </w:p>
    <w:p w14:paraId="67E075EE"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29190CA5"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Por último, las disposiciones particulares tuvieron un incremento promedio de </w:t>
      </w:r>
      <w:r w:rsidR="00396C5A" w:rsidRPr="007F03BF">
        <w:rPr>
          <w:rFonts w:ascii="Arial" w:hAnsi="Arial" w:cs="Arial"/>
          <w:color w:val="000000" w:themeColor="text1"/>
        </w:rPr>
        <w:t>2.75</w:t>
      </w:r>
      <w:r w:rsidRPr="007F03BF">
        <w:rPr>
          <w:rFonts w:ascii="Arial" w:hAnsi="Arial" w:cs="Arial"/>
          <w:color w:val="000000" w:themeColor="text1"/>
        </w:rPr>
        <w:t xml:space="preserve"> puntos, encontrándose su ICP entre 8</w:t>
      </w:r>
      <w:r w:rsidR="00396C5A" w:rsidRPr="007F03BF">
        <w:rPr>
          <w:rFonts w:ascii="Arial" w:hAnsi="Arial" w:cs="Arial"/>
          <w:color w:val="000000" w:themeColor="text1"/>
        </w:rPr>
        <w:t>6</w:t>
      </w:r>
      <w:r w:rsidRPr="007F03BF">
        <w:rPr>
          <w:rFonts w:ascii="Arial" w:hAnsi="Arial" w:cs="Arial"/>
          <w:color w:val="000000" w:themeColor="text1"/>
        </w:rPr>
        <w:t xml:space="preserve">% y 100%. Es pertinente resaltar que la disposición particular consistente en publicar el calendario de actualización de las obligaciones de transparencia </w:t>
      </w:r>
      <w:r w:rsidR="00B2542B" w:rsidRPr="007F03BF">
        <w:rPr>
          <w:rFonts w:ascii="Arial" w:hAnsi="Arial" w:cs="Arial"/>
          <w:color w:val="000000" w:themeColor="text1"/>
        </w:rPr>
        <w:t>continúa</w:t>
      </w:r>
      <w:r w:rsidR="00396C5A" w:rsidRPr="007F03BF">
        <w:rPr>
          <w:rFonts w:ascii="Arial" w:hAnsi="Arial" w:cs="Arial"/>
          <w:color w:val="000000" w:themeColor="text1"/>
        </w:rPr>
        <w:t xml:space="preserve"> siendo la obligación que presenta mayor área de oportunidad. </w:t>
      </w:r>
    </w:p>
    <w:p w14:paraId="4106DFF9"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3FCB189E"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El Poder Ejecutivo – Administración Central obtuvo un incremento promedio en su índice por artículo de </w:t>
      </w:r>
      <w:r w:rsidR="00396C5A" w:rsidRPr="007F03BF">
        <w:rPr>
          <w:rFonts w:ascii="Arial" w:hAnsi="Arial" w:cs="Arial"/>
          <w:color w:val="000000" w:themeColor="text1"/>
        </w:rPr>
        <w:t>1.84</w:t>
      </w:r>
      <w:r w:rsidRPr="007F03BF">
        <w:rPr>
          <w:rFonts w:ascii="Arial" w:hAnsi="Arial" w:cs="Arial"/>
          <w:color w:val="000000" w:themeColor="text1"/>
        </w:rPr>
        <w:t xml:space="preserve"> puntos.</w:t>
      </w:r>
    </w:p>
    <w:p w14:paraId="6D7C31F9"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50960FB9" w14:textId="77777777" w:rsidR="001A6622" w:rsidRPr="007F03BF" w:rsidRDefault="001A6622" w:rsidP="001A6622">
      <w:pPr>
        <w:spacing w:before="100" w:beforeAutospacing="1" w:after="100" w:afterAutospacing="1" w:line="360" w:lineRule="auto"/>
        <w:contextualSpacing/>
        <w:jc w:val="both"/>
        <w:rPr>
          <w:rFonts w:ascii="Arial" w:hAnsi="Arial" w:cs="Arial"/>
          <w:b/>
          <w:bCs/>
          <w:color w:val="000000" w:themeColor="text1"/>
        </w:rPr>
      </w:pPr>
      <w:r w:rsidRPr="007F03BF">
        <w:rPr>
          <w:rFonts w:ascii="Arial" w:hAnsi="Arial" w:cs="Arial"/>
          <w:b/>
          <w:bCs/>
          <w:color w:val="000000" w:themeColor="text1"/>
        </w:rPr>
        <w:t xml:space="preserve">Comparativo de índices entre la </w:t>
      </w:r>
      <w:r w:rsidR="00CE6E46" w:rsidRPr="007F03BF">
        <w:rPr>
          <w:rFonts w:ascii="Arial" w:hAnsi="Arial" w:cs="Arial"/>
          <w:b/>
          <w:bCs/>
          <w:color w:val="000000" w:themeColor="text1"/>
        </w:rPr>
        <w:t>Segunda</w:t>
      </w:r>
      <w:r w:rsidRPr="007F03BF">
        <w:rPr>
          <w:rFonts w:ascii="Arial" w:hAnsi="Arial" w:cs="Arial"/>
          <w:b/>
          <w:bCs/>
          <w:color w:val="000000" w:themeColor="text1"/>
        </w:rPr>
        <w:t xml:space="preserve"> Evaluación Vinculante 2019 y la </w:t>
      </w:r>
      <w:r w:rsidR="00CE6E46" w:rsidRPr="007F03BF">
        <w:rPr>
          <w:rFonts w:ascii="Arial" w:hAnsi="Arial" w:cs="Arial"/>
          <w:b/>
          <w:bCs/>
          <w:color w:val="000000" w:themeColor="text1"/>
        </w:rPr>
        <w:t>Primera</w:t>
      </w:r>
      <w:r w:rsidRPr="007F03BF">
        <w:rPr>
          <w:rFonts w:ascii="Arial" w:hAnsi="Arial" w:cs="Arial"/>
          <w:b/>
          <w:bCs/>
          <w:color w:val="000000" w:themeColor="text1"/>
        </w:rPr>
        <w:t xml:space="preserve"> Evaluación Vinculante 20</w:t>
      </w:r>
      <w:r w:rsidR="00CE6E46" w:rsidRPr="007F03BF">
        <w:rPr>
          <w:rFonts w:ascii="Arial" w:hAnsi="Arial" w:cs="Arial"/>
          <w:b/>
          <w:bCs/>
          <w:color w:val="000000" w:themeColor="text1"/>
        </w:rPr>
        <w:t>20</w:t>
      </w:r>
    </w:p>
    <w:tbl>
      <w:tblPr>
        <w:tblW w:w="9067" w:type="dxa"/>
        <w:tblLayout w:type="fixed"/>
        <w:tblCellMar>
          <w:left w:w="70" w:type="dxa"/>
          <w:right w:w="70" w:type="dxa"/>
        </w:tblCellMar>
        <w:tblLook w:val="04A0" w:firstRow="1" w:lastRow="0" w:firstColumn="1" w:lastColumn="0" w:noHBand="0" w:noVBand="1"/>
      </w:tblPr>
      <w:tblGrid>
        <w:gridCol w:w="463"/>
        <w:gridCol w:w="4352"/>
        <w:gridCol w:w="1559"/>
        <w:gridCol w:w="1703"/>
        <w:gridCol w:w="990"/>
      </w:tblGrid>
      <w:tr w:rsidR="001A6622" w:rsidRPr="007F03BF" w14:paraId="3E888BC6" w14:textId="77777777" w:rsidTr="008C4FD7">
        <w:trPr>
          <w:trHeight w:val="86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27E60633" w14:textId="77777777" w:rsidR="001A6622" w:rsidRPr="007F03BF" w:rsidRDefault="00396C5A" w:rsidP="00FF7BD9">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Resultados de la Primera Evaluación Vinculante 2020, respecto de las recomendaciones y observaciones de la Segunda Evaluación Vinculante 2019</w:t>
            </w:r>
          </w:p>
        </w:tc>
      </w:tr>
      <w:tr w:rsidR="001A6622" w:rsidRPr="007F03BF" w14:paraId="23CBBA50" w14:textId="77777777" w:rsidTr="008C4FD7">
        <w:trPr>
          <w:trHeight w:val="340"/>
          <w:tblHeader/>
        </w:trPr>
        <w:tc>
          <w:tcPr>
            <w:tcW w:w="463" w:type="dxa"/>
            <w:tcBorders>
              <w:top w:val="nil"/>
              <w:left w:val="single" w:sz="4" w:space="0" w:color="auto"/>
              <w:bottom w:val="single" w:sz="4" w:space="0" w:color="auto"/>
              <w:right w:val="single" w:sz="4" w:space="0" w:color="auto"/>
            </w:tcBorders>
            <w:shd w:val="clear" w:color="auto" w:fill="70AD47" w:themeFill="accent6"/>
            <w:vAlign w:val="center"/>
            <w:hideMark/>
          </w:tcPr>
          <w:p w14:paraId="1766FC14" w14:textId="77777777" w:rsidR="001A6622" w:rsidRPr="007F03BF" w:rsidRDefault="001A6622" w:rsidP="00FF7BD9">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No.</w:t>
            </w:r>
          </w:p>
        </w:tc>
        <w:tc>
          <w:tcPr>
            <w:tcW w:w="4352" w:type="dxa"/>
            <w:tcBorders>
              <w:top w:val="nil"/>
              <w:left w:val="nil"/>
              <w:bottom w:val="single" w:sz="4" w:space="0" w:color="auto"/>
              <w:right w:val="single" w:sz="4" w:space="0" w:color="auto"/>
            </w:tcBorders>
            <w:shd w:val="clear" w:color="auto" w:fill="70AD47" w:themeFill="accent6"/>
            <w:vAlign w:val="center"/>
            <w:hideMark/>
          </w:tcPr>
          <w:p w14:paraId="64E15A3D" w14:textId="77777777" w:rsidR="001A6622" w:rsidRPr="007F03BF" w:rsidRDefault="001A6622" w:rsidP="00FF7BD9">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Sujeto obligado</w:t>
            </w:r>
          </w:p>
        </w:tc>
        <w:tc>
          <w:tcPr>
            <w:tcW w:w="1559" w:type="dxa"/>
            <w:tcBorders>
              <w:top w:val="nil"/>
              <w:left w:val="nil"/>
              <w:bottom w:val="single" w:sz="4" w:space="0" w:color="auto"/>
              <w:right w:val="single" w:sz="4" w:space="0" w:color="auto"/>
            </w:tcBorders>
            <w:shd w:val="clear" w:color="auto" w:fill="70AD47" w:themeFill="accent6"/>
            <w:vAlign w:val="center"/>
            <w:hideMark/>
          </w:tcPr>
          <w:p w14:paraId="344FC13C" w14:textId="77777777" w:rsidR="001A6622" w:rsidRPr="007F03BF" w:rsidRDefault="00CE6E46" w:rsidP="00FF7BD9">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2</w:t>
            </w:r>
            <w:r w:rsidR="001A6622" w:rsidRPr="007F03BF">
              <w:rPr>
                <w:rFonts w:ascii="Arial" w:hAnsi="Arial" w:cs="Arial"/>
                <w:b/>
                <w:bCs/>
                <w:color w:val="000000" w:themeColor="text1"/>
                <w:sz w:val="20"/>
                <w:szCs w:val="20"/>
              </w:rPr>
              <w:t>a Evaluación Vinculante 2019</w:t>
            </w:r>
          </w:p>
        </w:tc>
        <w:tc>
          <w:tcPr>
            <w:tcW w:w="1703" w:type="dxa"/>
            <w:tcBorders>
              <w:top w:val="nil"/>
              <w:left w:val="nil"/>
              <w:bottom w:val="single" w:sz="4" w:space="0" w:color="auto"/>
              <w:right w:val="single" w:sz="4" w:space="0" w:color="auto"/>
            </w:tcBorders>
            <w:shd w:val="clear" w:color="auto" w:fill="70AD47" w:themeFill="accent6"/>
            <w:vAlign w:val="center"/>
            <w:hideMark/>
          </w:tcPr>
          <w:p w14:paraId="72B4E3ED" w14:textId="77777777" w:rsidR="001A6622" w:rsidRPr="007F03BF" w:rsidRDefault="00CE6E46" w:rsidP="00FF7BD9">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1a</w:t>
            </w:r>
            <w:r w:rsidR="001A6622" w:rsidRPr="007F03BF">
              <w:rPr>
                <w:rFonts w:ascii="Arial" w:hAnsi="Arial" w:cs="Arial"/>
                <w:b/>
                <w:bCs/>
                <w:color w:val="000000" w:themeColor="text1"/>
                <w:sz w:val="20"/>
                <w:szCs w:val="20"/>
              </w:rPr>
              <w:t xml:space="preserve"> Evaluación Vinculante</w:t>
            </w:r>
            <w:r w:rsidRPr="007F03BF">
              <w:rPr>
                <w:rFonts w:ascii="Arial" w:hAnsi="Arial" w:cs="Arial"/>
                <w:b/>
                <w:bCs/>
                <w:color w:val="000000" w:themeColor="text1"/>
                <w:sz w:val="20"/>
                <w:szCs w:val="20"/>
              </w:rPr>
              <w:t xml:space="preserve"> 2020</w:t>
            </w:r>
          </w:p>
        </w:tc>
        <w:tc>
          <w:tcPr>
            <w:tcW w:w="990" w:type="dxa"/>
            <w:tcBorders>
              <w:top w:val="nil"/>
              <w:left w:val="nil"/>
              <w:bottom w:val="single" w:sz="4" w:space="0" w:color="auto"/>
              <w:right w:val="single" w:sz="4" w:space="0" w:color="auto"/>
            </w:tcBorders>
            <w:shd w:val="clear" w:color="auto" w:fill="70AD47" w:themeFill="accent6"/>
            <w:vAlign w:val="center"/>
            <w:hideMark/>
          </w:tcPr>
          <w:p w14:paraId="2098DFBB" w14:textId="77777777" w:rsidR="001A6622" w:rsidRPr="007F03BF" w:rsidRDefault="001A6622" w:rsidP="00FF7BD9">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396C5A" w:rsidRPr="007F03BF" w14:paraId="4C15BA2D" w14:textId="77777777"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59B75D70" w14:textId="77777777" w:rsidR="00396C5A" w:rsidRPr="007F03BF" w:rsidRDefault="00396C5A" w:rsidP="00396C5A">
            <w:pPr>
              <w:jc w:val="both"/>
              <w:rPr>
                <w:rFonts w:ascii="Arial" w:hAnsi="Arial" w:cs="Arial"/>
                <w:color w:val="000000"/>
                <w:sz w:val="20"/>
                <w:szCs w:val="20"/>
              </w:rPr>
            </w:pPr>
            <w:r w:rsidRPr="007F03BF">
              <w:rPr>
                <w:rFonts w:ascii="Arial" w:hAnsi="Arial" w:cs="Arial"/>
                <w:color w:val="000000"/>
                <w:sz w:val="20"/>
                <w:szCs w:val="20"/>
              </w:rPr>
              <w:t>1</w:t>
            </w:r>
          </w:p>
        </w:tc>
        <w:tc>
          <w:tcPr>
            <w:tcW w:w="4352" w:type="dxa"/>
            <w:tcBorders>
              <w:top w:val="nil"/>
              <w:left w:val="nil"/>
              <w:bottom w:val="single" w:sz="4" w:space="0" w:color="auto"/>
              <w:right w:val="single" w:sz="4" w:space="0" w:color="auto"/>
            </w:tcBorders>
            <w:shd w:val="clear" w:color="auto" w:fill="auto"/>
            <w:vAlign w:val="center"/>
            <w:hideMark/>
          </w:tcPr>
          <w:p w14:paraId="6A886B60" w14:textId="77777777" w:rsidR="00396C5A" w:rsidRPr="007F03BF" w:rsidRDefault="00396C5A" w:rsidP="00396C5A">
            <w:pPr>
              <w:jc w:val="both"/>
              <w:rPr>
                <w:rFonts w:ascii="Arial" w:hAnsi="Arial" w:cs="Arial"/>
                <w:color w:val="000000"/>
                <w:sz w:val="20"/>
                <w:szCs w:val="20"/>
              </w:rPr>
            </w:pPr>
            <w:r w:rsidRPr="007F03BF">
              <w:rPr>
                <w:rFonts w:ascii="Arial" w:hAnsi="Arial" w:cs="Arial"/>
                <w:color w:val="000000"/>
                <w:sz w:val="20"/>
                <w:szCs w:val="20"/>
              </w:rPr>
              <w:t>Secretaría de Educación, Ciencia, Tecnología e Innovación.</w:t>
            </w:r>
          </w:p>
        </w:tc>
        <w:tc>
          <w:tcPr>
            <w:tcW w:w="1559" w:type="dxa"/>
            <w:tcBorders>
              <w:top w:val="nil"/>
              <w:left w:val="nil"/>
              <w:bottom w:val="single" w:sz="4" w:space="0" w:color="auto"/>
              <w:right w:val="single" w:sz="4" w:space="0" w:color="auto"/>
            </w:tcBorders>
            <w:shd w:val="clear" w:color="auto" w:fill="auto"/>
            <w:vAlign w:val="center"/>
            <w:hideMark/>
          </w:tcPr>
          <w:p w14:paraId="0E8C2BFA" w14:textId="77777777" w:rsidR="00396C5A" w:rsidRPr="007F03BF" w:rsidRDefault="00396C5A" w:rsidP="00396C5A">
            <w:pPr>
              <w:jc w:val="center"/>
              <w:rPr>
                <w:rFonts w:ascii="Arial" w:hAnsi="Arial" w:cs="Arial"/>
                <w:color w:val="000000" w:themeColor="text1"/>
                <w:sz w:val="20"/>
                <w:szCs w:val="20"/>
              </w:rPr>
            </w:pPr>
            <w:r w:rsidRPr="007F03BF">
              <w:rPr>
                <w:rFonts w:ascii="Arial" w:hAnsi="Arial" w:cs="Arial"/>
                <w:color w:val="000000" w:themeColor="text1"/>
                <w:sz w:val="20"/>
                <w:szCs w:val="20"/>
              </w:rPr>
              <w:t>98.92</w:t>
            </w:r>
          </w:p>
        </w:tc>
        <w:tc>
          <w:tcPr>
            <w:tcW w:w="1703" w:type="dxa"/>
            <w:tcBorders>
              <w:top w:val="nil"/>
              <w:left w:val="nil"/>
              <w:bottom w:val="single" w:sz="4" w:space="0" w:color="auto"/>
              <w:right w:val="single" w:sz="4" w:space="0" w:color="auto"/>
            </w:tcBorders>
            <w:shd w:val="clear" w:color="auto" w:fill="auto"/>
            <w:vAlign w:val="center"/>
            <w:hideMark/>
          </w:tcPr>
          <w:p w14:paraId="327FD117" w14:textId="77777777" w:rsidR="00396C5A" w:rsidRPr="007F03BF" w:rsidRDefault="00396C5A" w:rsidP="00396C5A">
            <w:pPr>
              <w:jc w:val="center"/>
              <w:rPr>
                <w:rFonts w:ascii="Calibri" w:hAnsi="Calibri" w:cs="Calibri"/>
                <w:color w:val="000000"/>
                <w:sz w:val="22"/>
                <w:szCs w:val="22"/>
              </w:rPr>
            </w:pPr>
            <w:r w:rsidRPr="007F03BF">
              <w:rPr>
                <w:rFonts w:ascii="Calibri" w:hAnsi="Calibri" w:cs="Calibri"/>
                <w:color w:val="000000"/>
                <w:sz w:val="22"/>
                <w:szCs w:val="22"/>
              </w:rPr>
              <w:t>100</w:t>
            </w:r>
          </w:p>
        </w:tc>
        <w:tc>
          <w:tcPr>
            <w:tcW w:w="990" w:type="dxa"/>
            <w:tcBorders>
              <w:top w:val="nil"/>
              <w:left w:val="nil"/>
              <w:bottom w:val="single" w:sz="4" w:space="0" w:color="auto"/>
              <w:right w:val="single" w:sz="4" w:space="0" w:color="auto"/>
            </w:tcBorders>
            <w:shd w:val="clear" w:color="auto" w:fill="auto"/>
            <w:vAlign w:val="center"/>
            <w:hideMark/>
          </w:tcPr>
          <w:p w14:paraId="6C852CD4" w14:textId="77777777" w:rsidR="00396C5A" w:rsidRPr="007F03BF" w:rsidRDefault="00396C5A" w:rsidP="00396C5A">
            <w:pPr>
              <w:jc w:val="center"/>
              <w:rPr>
                <w:rFonts w:ascii="Arial" w:hAnsi="Arial" w:cs="Arial"/>
                <w:color w:val="000000"/>
                <w:sz w:val="20"/>
                <w:szCs w:val="20"/>
              </w:rPr>
            </w:pPr>
            <w:r w:rsidRPr="007F03BF">
              <w:rPr>
                <w:rFonts w:ascii="Arial" w:hAnsi="Arial" w:cs="Arial"/>
                <w:color w:val="000000" w:themeColor="text1"/>
                <w:sz w:val="20"/>
                <w:szCs w:val="20"/>
              </w:rPr>
              <w:t>1.08</w:t>
            </w:r>
          </w:p>
        </w:tc>
      </w:tr>
      <w:tr w:rsidR="00396C5A" w:rsidRPr="007F03BF" w14:paraId="5FD5DAD7" w14:textId="77777777"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78941F3E" w14:textId="77777777" w:rsidR="00396C5A" w:rsidRPr="007F03BF" w:rsidRDefault="00396C5A" w:rsidP="00396C5A">
            <w:pPr>
              <w:jc w:val="both"/>
              <w:rPr>
                <w:rFonts w:ascii="Arial" w:hAnsi="Arial" w:cs="Arial"/>
                <w:color w:val="000000"/>
                <w:sz w:val="20"/>
                <w:szCs w:val="20"/>
              </w:rPr>
            </w:pPr>
            <w:r w:rsidRPr="007F03BF">
              <w:rPr>
                <w:rFonts w:ascii="Arial" w:hAnsi="Arial" w:cs="Arial"/>
                <w:color w:val="000000"/>
                <w:sz w:val="20"/>
                <w:szCs w:val="20"/>
              </w:rPr>
              <w:t>2</w:t>
            </w:r>
          </w:p>
        </w:tc>
        <w:tc>
          <w:tcPr>
            <w:tcW w:w="4352" w:type="dxa"/>
            <w:tcBorders>
              <w:top w:val="nil"/>
              <w:left w:val="nil"/>
              <w:bottom w:val="single" w:sz="4" w:space="0" w:color="auto"/>
              <w:right w:val="single" w:sz="4" w:space="0" w:color="auto"/>
            </w:tcBorders>
            <w:shd w:val="clear" w:color="auto" w:fill="auto"/>
            <w:vAlign w:val="center"/>
            <w:hideMark/>
          </w:tcPr>
          <w:p w14:paraId="657F97FD" w14:textId="77777777" w:rsidR="00396C5A" w:rsidRPr="007F03BF" w:rsidRDefault="00396C5A" w:rsidP="00396C5A">
            <w:pPr>
              <w:jc w:val="both"/>
              <w:rPr>
                <w:rFonts w:ascii="Arial" w:hAnsi="Arial" w:cs="Arial"/>
                <w:color w:val="000000"/>
                <w:sz w:val="20"/>
                <w:szCs w:val="20"/>
              </w:rPr>
            </w:pPr>
            <w:r w:rsidRPr="007F03BF">
              <w:rPr>
                <w:rFonts w:ascii="Arial" w:hAnsi="Arial" w:cs="Arial"/>
                <w:color w:val="000000"/>
                <w:sz w:val="20"/>
                <w:szCs w:val="20"/>
              </w:rPr>
              <w:t>Secretaría de Pueblos y Barrios Originarios y Comunidades Indígenas Residentes.</w:t>
            </w:r>
          </w:p>
        </w:tc>
        <w:tc>
          <w:tcPr>
            <w:tcW w:w="1559" w:type="dxa"/>
            <w:tcBorders>
              <w:top w:val="nil"/>
              <w:left w:val="nil"/>
              <w:bottom w:val="single" w:sz="4" w:space="0" w:color="auto"/>
              <w:right w:val="single" w:sz="4" w:space="0" w:color="auto"/>
            </w:tcBorders>
            <w:shd w:val="clear" w:color="auto" w:fill="auto"/>
            <w:vAlign w:val="center"/>
            <w:hideMark/>
          </w:tcPr>
          <w:p w14:paraId="6AF6B886" w14:textId="77777777" w:rsidR="00396C5A" w:rsidRPr="007F03BF" w:rsidRDefault="00396C5A" w:rsidP="00396C5A">
            <w:pPr>
              <w:jc w:val="center"/>
              <w:rPr>
                <w:rFonts w:ascii="Arial" w:hAnsi="Arial" w:cs="Arial"/>
                <w:color w:val="000000" w:themeColor="text1"/>
                <w:sz w:val="20"/>
                <w:szCs w:val="20"/>
              </w:rPr>
            </w:pPr>
            <w:r w:rsidRPr="007F03BF">
              <w:rPr>
                <w:rFonts w:ascii="Arial" w:hAnsi="Arial" w:cs="Arial"/>
                <w:color w:val="000000" w:themeColor="text1"/>
                <w:sz w:val="20"/>
                <w:szCs w:val="20"/>
              </w:rPr>
              <w:t>88.84</w:t>
            </w:r>
          </w:p>
        </w:tc>
        <w:tc>
          <w:tcPr>
            <w:tcW w:w="1703" w:type="dxa"/>
            <w:tcBorders>
              <w:top w:val="nil"/>
              <w:left w:val="nil"/>
              <w:bottom w:val="single" w:sz="4" w:space="0" w:color="auto"/>
              <w:right w:val="single" w:sz="4" w:space="0" w:color="auto"/>
            </w:tcBorders>
            <w:shd w:val="clear" w:color="auto" w:fill="auto"/>
            <w:vAlign w:val="center"/>
            <w:hideMark/>
          </w:tcPr>
          <w:p w14:paraId="1611D0F0" w14:textId="77777777" w:rsidR="00396C5A" w:rsidRPr="007F03BF" w:rsidRDefault="00396C5A" w:rsidP="00396C5A">
            <w:pPr>
              <w:jc w:val="center"/>
              <w:rPr>
                <w:rFonts w:ascii="Calibri" w:hAnsi="Calibri" w:cs="Calibri"/>
                <w:color w:val="000000"/>
                <w:sz w:val="22"/>
                <w:szCs w:val="22"/>
              </w:rPr>
            </w:pPr>
            <w:r w:rsidRPr="007F03BF">
              <w:rPr>
                <w:rFonts w:ascii="Calibri" w:hAnsi="Calibri" w:cs="Calibri"/>
                <w:color w:val="000000"/>
                <w:sz w:val="22"/>
                <w:szCs w:val="22"/>
              </w:rPr>
              <w:t>100</w:t>
            </w:r>
          </w:p>
        </w:tc>
        <w:tc>
          <w:tcPr>
            <w:tcW w:w="990" w:type="dxa"/>
            <w:tcBorders>
              <w:top w:val="nil"/>
              <w:left w:val="nil"/>
              <w:bottom w:val="single" w:sz="4" w:space="0" w:color="auto"/>
              <w:right w:val="single" w:sz="4" w:space="0" w:color="auto"/>
            </w:tcBorders>
            <w:shd w:val="clear" w:color="auto" w:fill="auto"/>
            <w:vAlign w:val="center"/>
            <w:hideMark/>
          </w:tcPr>
          <w:p w14:paraId="44893C29" w14:textId="77777777" w:rsidR="00396C5A" w:rsidRPr="007F03BF" w:rsidRDefault="00396C5A" w:rsidP="00396C5A">
            <w:pPr>
              <w:jc w:val="center"/>
              <w:rPr>
                <w:rFonts w:ascii="Arial" w:hAnsi="Arial" w:cs="Arial"/>
                <w:color w:val="000000"/>
                <w:sz w:val="20"/>
                <w:szCs w:val="20"/>
              </w:rPr>
            </w:pPr>
            <w:r w:rsidRPr="007F03BF">
              <w:rPr>
                <w:rFonts w:ascii="Arial" w:hAnsi="Arial" w:cs="Arial"/>
                <w:color w:val="000000" w:themeColor="text1"/>
                <w:sz w:val="20"/>
                <w:szCs w:val="20"/>
              </w:rPr>
              <w:t>11.16</w:t>
            </w:r>
          </w:p>
        </w:tc>
      </w:tr>
      <w:tr w:rsidR="00396C5A" w:rsidRPr="007F03BF" w14:paraId="2CCC5FB5" w14:textId="77777777"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2A39642A" w14:textId="77777777" w:rsidR="00396C5A" w:rsidRPr="007F03BF" w:rsidRDefault="00396C5A" w:rsidP="00396C5A">
            <w:pPr>
              <w:jc w:val="both"/>
              <w:rPr>
                <w:rFonts w:ascii="Arial" w:hAnsi="Arial" w:cs="Arial"/>
                <w:color w:val="000000"/>
                <w:sz w:val="20"/>
                <w:szCs w:val="20"/>
              </w:rPr>
            </w:pPr>
            <w:r w:rsidRPr="007F03BF">
              <w:rPr>
                <w:rFonts w:ascii="Arial" w:hAnsi="Arial" w:cs="Arial"/>
                <w:color w:val="000000"/>
                <w:sz w:val="20"/>
                <w:szCs w:val="20"/>
              </w:rPr>
              <w:t>3</w:t>
            </w:r>
          </w:p>
        </w:tc>
        <w:tc>
          <w:tcPr>
            <w:tcW w:w="4352" w:type="dxa"/>
            <w:tcBorders>
              <w:top w:val="nil"/>
              <w:left w:val="nil"/>
              <w:bottom w:val="single" w:sz="4" w:space="0" w:color="auto"/>
              <w:right w:val="single" w:sz="4" w:space="0" w:color="auto"/>
            </w:tcBorders>
            <w:shd w:val="clear" w:color="auto" w:fill="auto"/>
            <w:vAlign w:val="center"/>
            <w:hideMark/>
          </w:tcPr>
          <w:p w14:paraId="76C474F9" w14:textId="77777777" w:rsidR="00396C5A" w:rsidRPr="007F03BF" w:rsidRDefault="00396C5A" w:rsidP="00396C5A">
            <w:pPr>
              <w:jc w:val="both"/>
              <w:rPr>
                <w:rFonts w:ascii="Arial" w:hAnsi="Arial" w:cs="Arial"/>
                <w:color w:val="000000"/>
                <w:sz w:val="20"/>
                <w:szCs w:val="20"/>
              </w:rPr>
            </w:pPr>
            <w:r w:rsidRPr="007F03BF">
              <w:rPr>
                <w:rFonts w:ascii="Arial" w:hAnsi="Arial" w:cs="Arial"/>
                <w:color w:val="000000"/>
                <w:sz w:val="20"/>
                <w:szCs w:val="20"/>
              </w:rPr>
              <w:t>Secretaría de las Mujeres</w:t>
            </w:r>
            <w:r w:rsidR="00635881" w:rsidRPr="007F03BF">
              <w:rPr>
                <w:rFonts w:ascii="Arial" w:hAnsi="Arial" w:cs="Arial"/>
                <w:color w:val="000000"/>
                <w:sz w:val="20"/>
                <w:szCs w:val="20"/>
              </w:rPr>
              <w:t>.</w:t>
            </w:r>
          </w:p>
        </w:tc>
        <w:tc>
          <w:tcPr>
            <w:tcW w:w="1559" w:type="dxa"/>
            <w:tcBorders>
              <w:top w:val="nil"/>
              <w:left w:val="nil"/>
              <w:bottom w:val="single" w:sz="4" w:space="0" w:color="auto"/>
              <w:right w:val="single" w:sz="4" w:space="0" w:color="auto"/>
            </w:tcBorders>
            <w:shd w:val="clear" w:color="auto" w:fill="auto"/>
            <w:vAlign w:val="center"/>
            <w:hideMark/>
          </w:tcPr>
          <w:p w14:paraId="69C86CDD" w14:textId="77777777" w:rsidR="00396C5A" w:rsidRPr="007F03BF" w:rsidRDefault="00396C5A" w:rsidP="00396C5A">
            <w:pPr>
              <w:jc w:val="center"/>
              <w:rPr>
                <w:rFonts w:ascii="Arial" w:hAnsi="Arial" w:cs="Arial"/>
                <w:color w:val="000000" w:themeColor="text1"/>
                <w:sz w:val="20"/>
                <w:szCs w:val="20"/>
              </w:rPr>
            </w:pPr>
            <w:r w:rsidRPr="007F03BF">
              <w:rPr>
                <w:rFonts w:ascii="Arial" w:hAnsi="Arial" w:cs="Arial"/>
                <w:color w:val="000000" w:themeColor="text1"/>
                <w:sz w:val="20"/>
                <w:szCs w:val="20"/>
              </w:rPr>
              <w:t>91.90</w:t>
            </w:r>
          </w:p>
        </w:tc>
        <w:tc>
          <w:tcPr>
            <w:tcW w:w="1703" w:type="dxa"/>
            <w:tcBorders>
              <w:top w:val="nil"/>
              <w:left w:val="nil"/>
              <w:bottom w:val="single" w:sz="4" w:space="0" w:color="auto"/>
              <w:right w:val="single" w:sz="4" w:space="0" w:color="auto"/>
            </w:tcBorders>
            <w:shd w:val="clear" w:color="auto" w:fill="auto"/>
            <w:vAlign w:val="center"/>
            <w:hideMark/>
          </w:tcPr>
          <w:p w14:paraId="49055697" w14:textId="77777777" w:rsidR="00396C5A" w:rsidRPr="007F03BF" w:rsidRDefault="00396C5A" w:rsidP="00396C5A">
            <w:pPr>
              <w:jc w:val="center"/>
              <w:rPr>
                <w:rFonts w:ascii="Calibri" w:hAnsi="Calibri" w:cs="Calibri"/>
                <w:color w:val="000000"/>
                <w:sz w:val="22"/>
                <w:szCs w:val="22"/>
              </w:rPr>
            </w:pPr>
            <w:r w:rsidRPr="007F03BF">
              <w:rPr>
                <w:rFonts w:ascii="Calibri" w:hAnsi="Calibri" w:cs="Calibri"/>
                <w:color w:val="000000"/>
                <w:sz w:val="22"/>
                <w:szCs w:val="22"/>
              </w:rPr>
              <w:t>97.76</w:t>
            </w:r>
          </w:p>
        </w:tc>
        <w:tc>
          <w:tcPr>
            <w:tcW w:w="990" w:type="dxa"/>
            <w:tcBorders>
              <w:top w:val="nil"/>
              <w:left w:val="nil"/>
              <w:bottom w:val="single" w:sz="4" w:space="0" w:color="auto"/>
              <w:right w:val="single" w:sz="4" w:space="0" w:color="auto"/>
            </w:tcBorders>
            <w:shd w:val="clear" w:color="auto" w:fill="auto"/>
            <w:vAlign w:val="center"/>
            <w:hideMark/>
          </w:tcPr>
          <w:p w14:paraId="6CD7C5CE" w14:textId="77777777" w:rsidR="00396C5A" w:rsidRPr="007F03BF" w:rsidRDefault="00396C5A" w:rsidP="00396C5A">
            <w:pPr>
              <w:jc w:val="center"/>
              <w:rPr>
                <w:rFonts w:ascii="Arial" w:hAnsi="Arial" w:cs="Arial"/>
                <w:color w:val="000000"/>
                <w:sz w:val="20"/>
                <w:szCs w:val="20"/>
              </w:rPr>
            </w:pPr>
            <w:r w:rsidRPr="007F03BF">
              <w:rPr>
                <w:rFonts w:ascii="Arial" w:hAnsi="Arial" w:cs="Arial"/>
                <w:color w:val="000000" w:themeColor="text1"/>
                <w:sz w:val="20"/>
                <w:szCs w:val="20"/>
              </w:rPr>
              <w:t>5.86</w:t>
            </w:r>
          </w:p>
        </w:tc>
      </w:tr>
      <w:tr w:rsidR="00396C5A" w:rsidRPr="007F03BF" w14:paraId="4CBEBA75" w14:textId="77777777" w:rsidTr="00FF7BD9">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37805D93" w14:textId="77777777" w:rsidR="00396C5A" w:rsidRPr="007F03BF" w:rsidRDefault="00396C5A" w:rsidP="00396C5A">
            <w:pPr>
              <w:jc w:val="both"/>
              <w:rPr>
                <w:rFonts w:ascii="Arial" w:hAnsi="Arial" w:cs="Arial"/>
                <w:color w:val="000000"/>
                <w:sz w:val="20"/>
                <w:szCs w:val="20"/>
              </w:rPr>
            </w:pPr>
            <w:r w:rsidRPr="007F03BF">
              <w:rPr>
                <w:rFonts w:ascii="Arial" w:hAnsi="Arial" w:cs="Arial"/>
                <w:color w:val="000000"/>
                <w:sz w:val="20"/>
                <w:szCs w:val="20"/>
              </w:rPr>
              <w:t>4</w:t>
            </w:r>
          </w:p>
        </w:tc>
        <w:tc>
          <w:tcPr>
            <w:tcW w:w="4352" w:type="dxa"/>
            <w:tcBorders>
              <w:top w:val="nil"/>
              <w:left w:val="nil"/>
              <w:bottom w:val="single" w:sz="4" w:space="0" w:color="auto"/>
              <w:right w:val="single" w:sz="4" w:space="0" w:color="auto"/>
            </w:tcBorders>
            <w:shd w:val="clear" w:color="auto" w:fill="auto"/>
            <w:vAlign w:val="center"/>
            <w:hideMark/>
          </w:tcPr>
          <w:p w14:paraId="52929A6E" w14:textId="77777777" w:rsidR="00396C5A" w:rsidRPr="007F03BF" w:rsidRDefault="00396C5A" w:rsidP="00396C5A">
            <w:pPr>
              <w:jc w:val="both"/>
              <w:rPr>
                <w:rFonts w:ascii="Arial" w:hAnsi="Arial" w:cs="Arial"/>
                <w:color w:val="000000"/>
                <w:sz w:val="20"/>
                <w:szCs w:val="20"/>
              </w:rPr>
            </w:pPr>
            <w:r w:rsidRPr="007F03BF">
              <w:rPr>
                <w:rFonts w:ascii="Arial" w:hAnsi="Arial" w:cs="Arial"/>
                <w:color w:val="000000"/>
                <w:sz w:val="20"/>
                <w:szCs w:val="20"/>
              </w:rPr>
              <w:t>Secretaría de Gestión Integral de Riesgos y Protección Civil.</w:t>
            </w:r>
          </w:p>
        </w:tc>
        <w:tc>
          <w:tcPr>
            <w:tcW w:w="1559" w:type="dxa"/>
            <w:tcBorders>
              <w:top w:val="nil"/>
              <w:left w:val="nil"/>
              <w:bottom w:val="single" w:sz="4" w:space="0" w:color="auto"/>
              <w:right w:val="single" w:sz="4" w:space="0" w:color="auto"/>
            </w:tcBorders>
            <w:shd w:val="clear" w:color="auto" w:fill="auto"/>
            <w:vAlign w:val="center"/>
            <w:hideMark/>
          </w:tcPr>
          <w:p w14:paraId="5D3B597B" w14:textId="77777777" w:rsidR="00396C5A" w:rsidRPr="007F03BF" w:rsidRDefault="00396C5A" w:rsidP="00396C5A">
            <w:pPr>
              <w:jc w:val="center"/>
              <w:rPr>
                <w:rFonts w:ascii="Arial" w:hAnsi="Arial" w:cs="Arial"/>
                <w:color w:val="000000" w:themeColor="text1"/>
                <w:sz w:val="20"/>
                <w:szCs w:val="20"/>
              </w:rPr>
            </w:pPr>
            <w:r w:rsidRPr="007F03BF">
              <w:rPr>
                <w:rFonts w:ascii="Arial" w:hAnsi="Arial" w:cs="Arial"/>
                <w:color w:val="000000" w:themeColor="text1"/>
                <w:sz w:val="20"/>
                <w:szCs w:val="20"/>
              </w:rPr>
              <w:t>90.18</w:t>
            </w:r>
          </w:p>
        </w:tc>
        <w:tc>
          <w:tcPr>
            <w:tcW w:w="1703" w:type="dxa"/>
            <w:tcBorders>
              <w:top w:val="nil"/>
              <w:left w:val="nil"/>
              <w:bottom w:val="single" w:sz="4" w:space="0" w:color="auto"/>
              <w:right w:val="single" w:sz="4" w:space="0" w:color="auto"/>
            </w:tcBorders>
            <w:shd w:val="clear" w:color="auto" w:fill="auto"/>
            <w:vAlign w:val="center"/>
            <w:hideMark/>
          </w:tcPr>
          <w:p w14:paraId="48E4B6A0" w14:textId="77777777" w:rsidR="00396C5A" w:rsidRPr="007F03BF" w:rsidRDefault="00396C5A" w:rsidP="00396C5A">
            <w:pPr>
              <w:jc w:val="center"/>
              <w:rPr>
                <w:rFonts w:ascii="Calibri" w:hAnsi="Calibri" w:cs="Calibri"/>
                <w:color w:val="000000"/>
                <w:sz w:val="22"/>
                <w:szCs w:val="22"/>
              </w:rPr>
            </w:pPr>
            <w:r w:rsidRPr="007F03BF">
              <w:rPr>
                <w:rFonts w:ascii="Calibri" w:hAnsi="Calibri" w:cs="Calibri"/>
                <w:color w:val="000000"/>
                <w:sz w:val="22"/>
                <w:szCs w:val="22"/>
              </w:rPr>
              <w:t>91.73</w:t>
            </w:r>
          </w:p>
        </w:tc>
        <w:tc>
          <w:tcPr>
            <w:tcW w:w="990" w:type="dxa"/>
            <w:tcBorders>
              <w:top w:val="nil"/>
              <w:left w:val="nil"/>
              <w:bottom w:val="single" w:sz="4" w:space="0" w:color="auto"/>
              <w:right w:val="single" w:sz="4" w:space="0" w:color="auto"/>
            </w:tcBorders>
            <w:shd w:val="clear" w:color="auto" w:fill="auto"/>
            <w:vAlign w:val="center"/>
            <w:hideMark/>
          </w:tcPr>
          <w:p w14:paraId="093EE408" w14:textId="77777777" w:rsidR="00396C5A" w:rsidRPr="007F03BF" w:rsidRDefault="00396C5A" w:rsidP="00396C5A">
            <w:pPr>
              <w:jc w:val="center"/>
              <w:rPr>
                <w:rFonts w:ascii="Arial" w:hAnsi="Arial" w:cs="Arial"/>
                <w:color w:val="000000"/>
                <w:sz w:val="20"/>
                <w:szCs w:val="20"/>
              </w:rPr>
            </w:pPr>
            <w:r w:rsidRPr="007F03BF">
              <w:rPr>
                <w:rFonts w:ascii="Arial" w:hAnsi="Arial" w:cs="Arial"/>
                <w:color w:val="000000" w:themeColor="text1"/>
                <w:sz w:val="20"/>
                <w:szCs w:val="20"/>
              </w:rPr>
              <w:t>1.55</w:t>
            </w:r>
          </w:p>
        </w:tc>
      </w:tr>
    </w:tbl>
    <w:p w14:paraId="4C03F325" w14:textId="77777777" w:rsidR="001A6622" w:rsidRPr="007F03BF" w:rsidRDefault="001A6622" w:rsidP="001A6622">
      <w:pPr>
        <w:spacing w:before="100" w:beforeAutospacing="1" w:after="100" w:afterAutospacing="1" w:line="360" w:lineRule="auto"/>
        <w:contextualSpacing/>
        <w:jc w:val="both"/>
        <w:rPr>
          <w:rFonts w:ascii="Arial" w:hAnsi="Arial" w:cs="Arial"/>
          <w:color w:val="000000" w:themeColor="text1"/>
        </w:rPr>
      </w:pPr>
    </w:p>
    <w:p w14:paraId="4E93A7B6" w14:textId="77777777" w:rsidR="001A6622" w:rsidRPr="007F03BF" w:rsidRDefault="001A6622" w:rsidP="001A6622">
      <w:pPr>
        <w:spacing w:before="100" w:beforeAutospacing="1" w:after="100" w:afterAutospacing="1" w:line="360" w:lineRule="auto"/>
        <w:jc w:val="both"/>
        <w:rPr>
          <w:rFonts w:ascii="Arial" w:hAnsi="Arial" w:cs="Arial"/>
          <w:color w:val="000000" w:themeColor="text1"/>
        </w:rPr>
      </w:pPr>
      <w:r w:rsidRPr="007F03BF">
        <w:rPr>
          <w:rFonts w:ascii="Arial" w:hAnsi="Arial" w:cs="Arial"/>
          <w:color w:val="000000" w:themeColor="text1"/>
        </w:rPr>
        <w:t xml:space="preserve">Con relación a las recomendaciones y observaciones emitidas al Poder Ejecutivo – Administración Central, todos los sujetos obligados que integran el ámbito atendieron las mismas; sin embargo, </w:t>
      </w:r>
      <w:r w:rsidR="002C0541" w:rsidRPr="007F03BF">
        <w:rPr>
          <w:rFonts w:ascii="Arial" w:hAnsi="Arial" w:cs="Arial"/>
          <w:color w:val="000000" w:themeColor="text1"/>
        </w:rPr>
        <w:t>dos</w:t>
      </w:r>
      <w:r w:rsidRPr="007F03BF">
        <w:rPr>
          <w:rFonts w:ascii="Arial" w:hAnsi="Arial" w:cs="Arial"/>
          <w:color w:val="000000" w:themeColor="text1"/>
        </w:rPr>
        <w:t xml:space="preserve"> cumplieron con la totalidad de las recomendaciones, alcanzando un IGOT de 100%; mientras que el </w:t>
      </w:r>
      <w:r w:rsidR="002C0541" w:rsidRPr="007F03BF">
        <w:rPr>
          <w:rFonts w:ascii="Arial" w:hAnsi="Arial" w:cs="Arial"/>
          <w:color w:val="000000" w:themeColor="text1"/>
        </w:rPr>
        <w:t>dos</w:t>
      </w:r>
      <w:r w:rsidRPr="007F03BF">
        <w:rPr>
          <w:rFonts w:ascii="Arial" w:hAnsi="Arial" w:cs="Arial"/>
          <w:color w:val="000000" w:themeColor="text1"/>
        </w:rPr>
        <w:t xml:space="preserve"> continúa presentando áreas oportunidad.</w:t>
      </w:r>
    </w:p>
    <w:p w14:paraId="1195BFB8" w14:textId="77777777" w:rsidR="001A6622" w:rsidRPr="007F03BF" w:rsidRDefault="002C0541" w:rsidP="001A6622">
      <w:pPr>
        <w:spacing w:before="100" w:beforeAutospacing="1" w:after="100" w:afterAutospacing="1" w:line="360" w:lineRule="auto"/>
        <w:jc w:val="both"/>
        <w:rPr>
          <w:rFonts w:ascii="Arial" w:hAnsi="Arial" w:cs="Arial"/>
          <w:color w:val="000000" w:themeColor="text1"/>
        </w:rPr>
      </w:pPr>
      <w:r w:rsidRPr="007F03BF">
        <w:rPr>
          <w:rFonts w:ascii="Arial" w:hAnsi="Arial" w:cs="Arial"/>
          <w:color w:val="000000" w:themeColor="text1"/>
        </w:rPr>
        <w:t xml:space="preserve">El sujeto obligado que presentó la mayor mejoría fue la Secretaría de Pueblos y Barrios Originarios y Comunidades Indígenas Residentes, con 11.16 puntos de incremento en su índice. </w:t>
      </w:r>
    </w:p>
    <w:p w14:paraId="38E8BE13" w14:textId="77777777" w:rsidR="00FF7BD9" w:rsidRPr="007F03BF" w:rsidRDefault="001A6622" w:rsidP="00FF7BD9">
      <w:pPr>
        <w:spacing w:before="100" w:beforeAutospacing="1" w:after="100" w:afterAutospacing="1" w:line="360" w:lineRule="auto"/>
        <w:jc w:val="both"/>
        <w:rPr>
          <w:rFonts w:ascii="Arial" w:hAnsi="Arial" w:cs="Arial"/>
          <w:color w:val="000000" w:themeColor="text1"/>
        </w:rPr>
      </w:pPr>
      <w:r w:rsidRPr="007F03BF">
        <w:rPr>
          <w:rFonts w:ascii="Arial" w:hAnsi="Arial" w:cs="Arial"/>
          <w:color w:val="000000" w:themeColor="text1"/>
        </w:rPr>
        <w:t xml:space="preserve">Asimismo, </w:t>
      </w:r>
      <w:r w:rsidR="002C0541" w:rsidRPr="007F03BF">
        <w:rPr>
          <w:rFonts w:ascii="Arial" w:hAnsi="Arial" w:cs="Arial"/>
          <w:color w:val="000000" w:themeColor="text1"/>
        </w:rPr>
        <w:t>los dos sujetos obligados presentan un IGOT superior a 90 puntos.</w:t>
      </w:r>
      <w:r w:rsidRPr="007F03BF">
        <w:rPr>
          <w:rFonts w:ascii="Arial" w:hAnsi="Arial" w:cs="Arial"/>
          <w:color w:val="000000" w:themeColor="text1"/>
        </w:rPr>
        <w:t xml:space="preserve"> Los sujetos de este ámbito tuvieron una mejoría promedio en su índice de </w:t>
      </w:r>
      <w:r w:rsidR="002C0541" w:rsidRPr="007F03BF">
        <w:rPr>
          <w:rFonts w:ascii="Arial" w:hAnsi="Arial" w:cs="Arial"/>
          <w:color w:val="000000" w:themeColor="text1"/>
        </w:rPr>
        <w:t>4.9</w:t>
      </w:r>
      <w:r w:rsidRPr="007F03BF">
        <w:rPr>
          <w:rFonts w:ascii="Arial" w:hAnsi="Arial" w:cs="Arial"/>
          <w:color w:val="000000" w:themeColor="text1"/>
        </w:rPr>
        <w:t xml:space="preserve"> puntos.</w:t>
      </w:r>
    </w:p>
    <w:p w14:paraId="53D0BCA3" w14:textId="77777777" w:rsidR="00D23BCA" w:rsidRPr="007F03BF" w:rsidRDefault="00D23BCA" w:rsidP="000D019A">
      <w:pPr>
        <w:pStyle w:val="Ttulo1"/>
        <w:contextualSpacing/>
        <w:rPr>
          <w:rFonts w:ascii="Arial" w:hAnsi="Arial" w:cs="Arial"/>
          <w:b/>
          <w:color w:val="000000" w:themeColor="text1"/>
          <w:sz w:val="24"/>
          <w:szCs w:val="24"/>
        </w:rPr>
      </w:pPr>
      <w:bookmarkStart w:id="15" w:name="_Toc39683997"/>
      <w:r w:rsidRPr="007F03BF">
        <w:rPr>
          <w:rFonts w:ascii="Arial" w:hAnsi="Arial" w:cs="Arial"/>
          <w:b/>
          <w:color w:val="000000" w:themeColor="text1"/>
          <w:sz w:val="24"/>
          <w:szCs w:val="24"/>
        </w:rPr>
        <w:lastRenderedPageBreak/>
        <w:t xml:space="preserve">PODER EJECUTIVO – </w:t>
      </w:r>
      <w:r w:rsidR="00D26BD3" w:rsidRPr="007F03BF">
        <w:rPr>
          <w:rFonts w:ascii="Arial" w:hAnsi="Arial" w:cs="Arial"/>
          <w:b/>
          <w:color w:val="000000" w:themeColor="text1"/>
          <w:sz w:val="24"/>
          <w:szCs w:val="24"/>
        </w:rPr>
        <w:t>ÓRGANOS DESCONCENTRADOS, FONDOS Y FIDEICOMISOS</w:t>
      </w:r>
      <w:bookmarkEnd w:id="15"/>
      <w:r w:rsidR="00D26BD3" w:rsidRPr="007F03BF">
        <w:rPr>
          <w:rFonts w:ascii="Arial" w:hAnsi="Arial" w:cs="Arial"/>
          <w:b/>
          <w:color w:val="000000" w:themeColor="text1"/>
          <w:sz w:val="24"/>
          <w:szCs w:val="24"/>
        </w:rPr>
        <w:t xml:space="preserve"> </w:t>
      </w:r>
    </w:p>
    <w:p w14:paraId="09E19BF9" w14:textId="77777777" w:rsidR="00D23BCA" w:rsidRPr="007F03BF" w:rsidRDefault="00D23BCA" w:rsidP="00D23BCA">
      <w:pPr>
        <w:contextualSpacing/>
        <w:rPr>
          <w:rFonts w:ascii="Arial" w:hAnsi="Arial" w:cs="Arial"/>
        </w:rPr>
      </w:pPr>
    </w:p>
    <w:p w14:paraId="2F29625F" w14:textId="6EE98E70" w:rsidR="00CE6E46" w:rsidRPr="007F03BF" w:rsidRDefault="00D23BCA" w:rsidP="00CE6E46">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rPr>
        <w:t xml:space="preserve">El ámbito del Poder Ejecutivo – </w:t>
      </w:r>
      <w:r w:rsidR="00D26BD3" w:rsidRPr="007F03BF">
        <w:rPr>
          <w:rFonts w:ascii="Arial" w:hAnsi="Arial" w:cs="Arial"/>
        </w:rPr>
        <w:t xml:space="preserve">Órganos Desconcentrados, Fondos y Fideicomisos (Órganos Desconcentrados) </w:t>
      </w:r>
      <w:r w:rsidRPr="007F03BF">
        <w:rPr>
          <w:rFonts w:ascii="Arial" w:hAnsi="Arial" w:cs="Arial"/>
        </w:rPr>
        <w:t xml:space="preserve">está integrado por </w:t>
      </w:r>
      <w:r w:rsidR="00F04A2C" w:rsidRPr="007F03BF">
        <w:rPr>
          <w:rFonts w:ascii="Arial" w:hAnsi="Arial" w:cs="Arial"/>
        </w:rPr>
        <w:t>6</w:t>
      </w:r>
      <w:r w:rsidR="00CE6E46" w:rsidRPr="007F03BF">
        <w:rPr>
          <w:rFonts w:ascii="Arial" w:hAnsi="Arial" w:cs="Arial"/>
        </w:rPr>
        <w:t>6</w:t>
      </w:r>
      <w:r w:rsidRPr="007F03BF">
        <w:rPr>
          <w:rFonts w:ascii="Arial" w:hAnsi="Arial" w:cs="Arial"/>
        </w:rPr>
        <w:t xml:space="preserve"> sujetos obligados, de conformidad con el Padrón de sujetos obligados supeditados al cumplimiento de la Ley de Transparencia, Acceso a la Información Pública y Rendición de Cuentas de la Ciudad de México</w:t>
      </w:r>
      <w:r w:rsidRPr="007F03BF" w:rsidDel="005B5D1B">
        <w:rPr>
          <w:rFonts w:ascii="Arial" w:hAnsi="Arial" w:cs="Arial"/>
        </w:rPr>
        <w:t xml:space="preserve"> </w:t>
      </w:r>
      <w:r w:rsidRPr="007F03BF">
        <w:rPr>
          <w:rFonts w:ascii="Arial" w:hAnsi="Arial" w:cs="Arial"/>
        </w:rPr>
        <w:t xml:space="preserve">y de la Ley de Protección de Datos Personales en Posesión de los sujetos obligados de la Ciudad de México </w:t>
      </w:r>
      <w:r w:rsidR="00CE6E46" w:rsidRPr="007F03BF">
        <w:rPr>
          <w:rFonts w:ascii="Arial" w:hAnsi="Arial" w:cs="Arial"/>
          <w:color w:val="000000" w:themeColor="text1"/>
        </w:rPr>
        <w:t>vigente</w:t>
      </w:r>
      <w:r w:rsidR="00C20185" w:rsidRPr="007F03BF">
        <w:rPr>
          <w:rFonts w:ascii="Arial" w:hAnsi="Arial" w:cs="Arial"/>
          <w:color w:val="000000" w:themeColor="text1"/>
        </w:rPr>
        <w:t>s</w:t>
      </w:r>
      <w:r w:rsidR="00CE6E46" w:rsidRPr="007F03BF">
        <w:rPr>
          <w:rFonts w:ascii="Arial" w:hAnsi="Arial" w:cs="Arial"/>
          <w:color w:val="000000" w:themeColor="text1"/>
        </w:rPr>
        <w:t xml:space="preserve">. De los 66 sujetos obligados que integran el Padrón, </w:t>
      </w:r>
      <w:r w:rsidR="00443947" w:rsidRPr="007F03BF">
        <w:rPr>
          <w:rFonts w:ascii="Arial" w:hAnsi="Arial" w:cs="Arial"/>
          <w:color w:val="000000" w:themeColor="text1"/>
        </w:rPr>
        <w:t xml:space="preserve">8 </w:t>
      </w:r>
      <w:r w:rsidR="00CE6E46" w:rsidRPr="007F03BF">
        <w:rPr>
          <w:rFonts w:ascii="Arial" w:hAnsi="Arial" w:cs="Arial"/>
          <w:color w:val="000000" w:themeColor="text1"/>
        </w:rPr>
        <w:t xml:space="preserve">sujetos obligados se integraron al Padrón durante el primer semestre del año 2019 y fueron evaluados durante la Segunda Evaluación Vinculante 2019. </w:t>
      </w:r>
    </w:p>
    <w:p w14:paraId="61AF91DA" w14:textId="77777777" w:rsidR="00CE6E46" w:rsidRPr="007F03BF" w:rsidRDefault="00CE6E46" w:rsidP="00CE6E46">
      <w:pPr>
        <w:spacing w:before="100" w:beforeAutospacing="1" w:after="100" w:afterAutospacing="1" w:line="360" w:lineRule="auto"/>
        <w:contextualSpacing/>
        <w:jc w:val="both"/>
        <w:rPr>
          <w:rFonts w:ascii="Arial" w:hAnsi="Arial" w:cs="Arial"/>
          <w:color w:val="000000" w:themeColor="text1"/>
        </w:rPr>
      </w:pPr>
    </w:p>
    <w:p w14:paraId="277B5301" w14:textId="423A2B6F" w:rsidR="00CE6E46" w:rsidRPr="007F03BF" w:rsidRDefault="00CE6E46" w:rsidP="00CE6E46">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De los </w:t>
      </w:r>
      <w:r w:rsidR="00443947" w:rsidRPr="007F03BF">
        <w:rPr>
          <w:rFonts w:ascii="Arial" w:hAnsi="Arial" w:cs="Arial"/>
          <w:color w:val="000000" w:themeColor="text1"/>
        </w:rPr>
        <w:t>8</w:t>
      </w:r>
      <w:r w:rsidRPr="007F03BF">
        <w:rPr>
          <w:rFonts w:ascii="Arial" w:hAnsi="Arial" w:cs="Arial"/>
          <w:color w:val="000000" w:themeColor="text1"/>
        </w:rPr>
        <w:t xml:space="preserve"> sujetos obligado</w:t>
      </w:r>
      <w:r w:rsidR="00635881" w:rsidRPr="007F03BF">
        <w:rPr>
          <w:rFonts w:ascii="Arial" w:hAnsi="Arial" w:cs="Arial"/>
          <w:color w:val="000000" w:themeColor="text1"/>
        </w:rPr>
        <w:t>s</w:t>
      </w:r>
      <w:r w:rsidRPr="007F03BF">
        <w:rPr>
          <w:rFonts w:ascii="Arial" w:hAnsi="Arial" w:cs="Arial"/>
          <w:color w:val="000000" w:themeColor="text1"/>
        </w:rPr>
        <w:t xml:space="preserve"> que fueron evaluados, </w:t>
      </w:r>
      <w:r w:rsidR="00443947" w:rsidRPr="007F03BF">
        <w:rPr>
          <w:rFonts w:ascii="Arial" w:hAnsi="Arial" w:cs="Arial"/>
          <w:color w:val="000000" w:themeColor="text1"/>
        </w:rPr>
        <w:t>1</w:t>
      </w:r>
      <w:r w:rsidR="00E846CB" w:rsidRPr="007F03BF">
        <w:rPr>
          <w:rFonts w:ascii="Arial" w:hAnsi="Arial" w:cs="Arial"/>
          <w:color w:val="000000" w:themeColor="text1"/>
        </w:rPr>
        <w:t xml:space="preserve"> </w:t>
      </w:r>
      <w:r w:rsidRPr="007F03BF">
        <w:rPr>
          <w:rFonts w:ascii="Arial" w:hAnsi="Arial" w:cs="Arial"/>
          <w:color w:val="000000" w:themeColor="text1"/>
        </w:rPr>
        <w:t xml:space="preserve">obtuvo un cumplimiento total del piso mínimo contemplado en la Ley de Transparencia </w:t>
      </w:r>
      <w:r w:rsidR="00D47F3C" w:rsidRPr="007F03BF">
        <w:rPr>
          <w:rFonts w:ascii="Arial" w:hAnsi="Arial" w:cs="Arial"/>
          <w:color w:val="000000" w:themeColor="text1"/>
        </w:rPr>
        <w:t>local</w:t>
      </w:r>
      <w:r w:rsidRPr="007F03BF">
        <w:rPr>
          <w:rFonts w:ascii="Arial" w:hAnsi="Arial" w:cs="Arial"/>
          <w:color w:val="000000" w:themeColor="text1"/>
        </w:rPr>
        <w:t xml:space="preserve"> y siete continúan presentando áreas de oportunidad con relación a la publicación y actualización de la información. </w:t>
      </w:r>
    </w:p>
    <w:p w14:paraId="412C1C0A" w14:textId="77777777" w:rsidR="00CE6E46" w:rsidRPr="007F03BF" w:rsidRDefault="00CE6E46" w:rsidP="00CE6E46">
      <w:pPr>
        <w:spacing w:before="100" w:beforeAutospacing="1" w:after="100" w:afterAutospacing="1" w:line="360" w:lineRule="auto"/>
        <w:contextualSpacing/>
        <w:jc w:val="both"/>
        <w:rPr>
          <w:rFonts w:ascii="Arial" w:hAnsi="Arial" w:cs="Arial"/>
          <w:color w:val="000000" w:themeColor="text1"/>
        </w:rPr>
      </w:pPr>
    </w:p>
    <w:p w14:paraId="543C7AD5" w14:textId="77777777" w:rsidR="00CE6E46" w:rsidRPr="007F03BF" w:rsidRDefault="00CE6E46" w:rsidP="00CE6E46">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Los sujetos obligados, así como su Índice de Cumplimiento de obligaciones de transparencia del Portal de Internet (IGOT-PI), el de la Plataforma Nacional de Transparencia (IGOT-PNT) y el Índice General de Cumplimiento de obligaciones de transparencia (IGOT) se presentan en la siguiente tabla, ordenados de forma descendente, respecto del IGOT: </w:t>
      </w:r>
    </w:p>
    <w:p w14:paraId="2F4116FF" w14:textId="77777777" w:rsidR="00D23BCA" w:rsidRPr="007F03BF" w:rsidRDefault="00D23BCA" w:rsidP="00CE6E46">
      <w:pPr>
        <w:spacing w:before="100" w:beforeAutospacing="1" w:after="100" w:afterAutospacing="1" w:line="360" w:lineRule="auto"/>
        <w:contextualSpacing/>
        <w:jc w:val="both"/>
        <w:rPr>
          <w:rFonts w:ascii="Arial" w:hAnsi="Arial" w:cs="Arial"/>
        </w:rPr>
      </w:pPr>
    </w:p>
    <w:tbl>
      <w:tblPr>
        <w:tblW w:w="8926" w:type="dxa"/>
        <w:tblCellMar>
          <w:left w:w="70" w:type="dxa"/>
          <w:right w:w="70" w:type="dxa"/>
        </w:tblCellMar>
        <w:tblLook w:val="04A0" w:firstRow="1" w:lastRow="0" w:firstColumn="1" w:lastColumn="0" w:noHBand="0" w:noVBand="1"/>
      </w:tblPr>
      <w:tblGrid>
        <w:gridCol w:w="529"/>
        <w:gridCol w:w="5136"/>
        <w:gridCol w:w="1123"/>
        <w:gridCol w:w="1263"/>
        <w:gridCol w:w="875"/>
      </w:tblGrid>
      <w:tr w:rsidR="00D23BCA" w:rsidRPr="007F03BF" w14:paraId="1E08E22C" w14:textId="77777777" w:rsidTr="008C4FD7">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6F1BF167" w14:textId="77777777" w:rsidR="00D23BCA" w:rsidRPr="007F03BF" w:rsidRDefault="00CE6E46" w:rsidP="00D23BCA">
            <w:pPr>
              <w:jc w:val="center"/>
              <w:rPr>
                <w:rFonts w:ascii="Arial" w:hAnsi="Arial" w:cs="Arial"/>
                <w:b/>
                <w:bCs/>
                <w:color w:val="000000"/>
                <w:sz w:val="20"/>
                <w:szCs w:val="20"/>
              </w:rPr>
            </w:pPr>
            <w:r w:rsidRPr="007F03BF">
              <w:rPr>
                <w:rFonts w:ascii="Arial" w:hAnsi="Arial" w:cs="Arial"/>
                <w:b/>
                <w:bCs/>
                <w:color w:val="000000" w:themeColor="text1"/>
                <w:sz w:val="20"/>
                <w:szCs w:val="20"/>
              </w:rPr>
              <w:t>Resultados de la Primera Evaluación Vinculante 2020, respecto de las recomendaciones y observaciones de la Segunda Evaluación Vinculante 2019</w:t>
            </w:r>
          </w:p>
        </w:tc>
      </w:tr>
      <w:tr w:rsidR="00D23BCA" w:rsidRPr="007F03BF" w14:paraId="33BF7323" w14:textId="77777777" w:rsidTr="008C4FD7">
        <w:trPr>
          <w:trHeight w:val="340"/>
          <w:tblHeader/>
        </w:trPr>
        <w:tc>
          <w:tcPr>
            <w:tcW w:w="529" w:type="dxa"/>
            <w:tcBorders>
              <w:top w:val="nil"/>
              <w:left w:val="single" w:sz="4" w:space="0" w:color="auto"/>
              <w:bottom w:val="single" w:sz="4" w:space="0" w:color="auto"/>
              <w:right w:val="single" w:sz="4" w:space="0" w:color="auto"/>
            </w:tcBorders>
            <w:shd w:val="clear" w:color="auto" w:fill="70AD47" w:themeFill="accent6"/>
            <w:vAlign w:val="center"/>
            <w:hideMark/>
          </w:tcPr>
          <w:p w14:paraId="55D97F3C" w14:textId="77777777" w:rsidR="00D23BCA" w:rsidRPr="007F03BF" w:rsidRDefault="00D23BCA" w:rsidP="00D23BCA">
            <w:pPr>
              <w:jc w:val="center"/>
              <w:rPr>
                <w:rFonts w:ascii="Arial" w:hAnsi="Arial" w:cs="Arial"/>
                <w:b/>
                <w:bCs/>
                <w:color w:val="000000"/>
                <w:sz w:val="20"/>
                <w:szCs w:val="20"/>
              </w:rPr>
            </w:pPr>
            <w:r w:rsidRPr="007F03BF">
              <w:rPr>
                <w:rFonts w:ascii="Arial" w:hAnsi="Arial" w:cs="Arial"/>
                <w:b/>
                <w:bCs/>
                <w:color w:val="000000"/>
                <w:sz w:val="20"/>
                <w:szCs w:val="20"/>
              </w:rPr>
              <w:t>No.</w:t>
            </w:r>
          </w:p>
        </w:tc>
        <w:tc>
          <w:tcPr>
            <w:tcW w:w="5136" w:type="dxa"/>
            <w:tcBorders>
              <w:top w:val="nil"/>
              <w:left w:val="nil"/>
              <w:bottom w:val="single" w:sz="4" w:space="0" w:color="auto"/>
              <w:right w:val="single" w:sz="4" w:space="0" w:color="auto"/>
            </w:tcBorders>
            <w:shd w:val="clear" w:color="auto" w:fill="70AD47" w:themeFill="accent6"/>
            <w:vAlign w:val="center"/>
            <w:hideMark/>
          </w:tcPr>
          <w:p w14:paraId="13F3050E" w14:textId="77777777" w:rsidR="00D23BCA" w:rsidRPr="007F03BF" w:rsidRDefault="00D23BCA" w:rsidP="00D23BCA">
            <w:pPr>
              <w:jc w:val="center"/>
              <w:rPr>
                <w:rFonts w:ascii="Arial" w:hAnsi="Arial" w:cs="Arial"/>
                <w:b/>
                <w:bCs/>
                <w:color w:val="000000"/>
                <w:sz w:val="20"/>
                <w:szCs w:val="20"/>
              </w:rPr>
            </w:pPr>
            <w:r w:rsidRPr="007F03BF">
              <w:rPr>
                <w:rFonts w:ascii="Arial" w:hAnsi="Arial" w:cs="Arial"/>
                <w:b/>
                <w:bCs/>
                <w:color w:val="000000"/>
                <w:sz w:val="20"/>
                <w:szCs w:val="20"/>
              </w:rPr>
              <w:t>Sujeto obligado</w:t>
            </w:r>
          </w:p>
        </w:tc>
        <w:tc>
          <w:tcPr>
            <w:tcW w:w="1123" w:type="dxa"/>
            <w:tcBorders>
              <w:top w:val="nil"/>
              <w:left w:val="nil"/>
              <w:bottom w:val="single" w:sz="4" w:space="0" w:color="auto"/>
              <w:right w:val="single" w:sz="4" w:space="0" w:color="auto"/>
            </w:tcBorders>
            <w:shd w:val="clear" w:color="auto" w:fill="70AD47" w:themeFill="accent6"/>
            <w:vAlign w:val="center"/>
            <w:hideMark/>
          </w:tcPr>
          <w:p w14:paraId="6D159EE8" w14:textId="77777777" w:rsidR="00D23BCA" w:rsidRPr="007F03BF" w:rsidRDefault="00D23BCA" w:rsidP="00D23BCA">
            <w:pPr>
              <w:jc w:val="center"/>
              <w:rPr>
                <w:rFonts w:ascii="Arial" w:hAnsi="Arial" w:cs="Arial"/>
                <w:b/>
                <w:bCs/>
                <w:color w:val="000000"/>
                <w:sz w:val="20"/>
                <w:szCs w:val="20"/>
              </w:rPr>
            </w:pPr>
            <w:r w:rsidRPr="007F03BF">
              <w:rPr>
                <w:rFonts w:ascii="Arial" w:hAnsi="Arial" w:cs="Arial"/>
                <w:b/>
                <w:bCs/>
                <w:color w:val="000000"/>
                <w:sz w:val="20"/>
                <w:szCs w:val="20"/>
              </w:rPr>
              <w:t>ICOT-PI</w:t>
            </w:r>
          </w:p>
        </w:tc>
        <w:tc>
          <w:tcPr>
            <w:tcW w:w="1263" w:type="dxa"/>
            <w:tcBorders>
              <w:top w:val="nil"/>
              <w:left w:val="nil"/>
              <w:bottom w:val="single" w:sz="4" w:space="0" w:color="auto"/>
              <w:right w:val="single" w:sz="4" w:space="0" w:color="auto"/>
            </w:tcBorders>
            <w:shd w:val="clear" w:color="auto" w:fill="70AD47" w:themeFill="accent6"/>
            <w:vAlign w:val="center"/>
            <w:hideMark/>
          </w:tcPr>
          <w:p w14:paraId="717E2CA7" w14:textId="77777777" w:rsidR="00D23BCA" w:rsidRPr="007F03BF" w:rsidRDefault="00D23BCA" w:rsidP="00D23BCA">
            <w:pPr>
              <w:jc w:val="center"/>
              <w:rPr>
                <w:rFonts w:ascii="Arial" w:hAnsi="Arial" w:cs="Arial"/>
                <w:b/>
                <w:bCs/>
                <w:color w:val="000000"/>
                <w:sz w:val="20"/>
                <w:szCs w:val="20"/>
              </w:rPr>
            </w:pPr>
            <w:r w:rsidRPr="007F03BF">
              <w:rPr>
                <w:rFonts w:ascii="Arial" w:hAnsi="Arial" w:cs="Arial"/>
                <w:b/>
                <w:bCs/>
                <w:color w:val="000000"/>
                <w:sz w:val="20"/>
                <w:szCs w:val="20"/>
              </w:rPr>
              <w:t>ICOT-PNT</w:t>
            </w:r>
          </w:p>
        </w:tc>
        <w:tc>
          <w:tcPr>
            <w:tcW w:w="875" w:type="dxa"/>
            <w:tcBorders>
              <w:top w:val="nil"/>
              <w:left w:val="nil"/>
              <w:bottom w:val="single" w:sz="4" w:space="0" w:color="auto"/>
              <w:right w:val="single" w:sz="4" w:space="0" w:color="auto"/>
            </w:tcBorders>
            <w:shd w:val="clear" w:color="auto" w:fill="70AD47" w:themeFill="accent6"/>
            <w:vAlign w:val="center"/>
            <w:hideMark/>
          </w:tcPr>
          <w:p w14:paraId="108404F9" w14:textId="77777777" w:rsidR="00D23BCA" w:rsidRPr="007F03BF" w:rsidRDefault="00D23BCA" w:rsidP="00D23BCA">
            <w:pPr>
              <w:jc w:val="center"/>
              <w:rPr>
                <w:rFonts w:ascii="Arial" w:hAnsi="Arial" w:cs="Arial"/>
                <w:b/>
                <w:bCs/>
                <w:color w:val="000000"/>
                <w:sz w:val="20"/>
                <w:szCs w:val="20"/>
              </w:rPr>
            </w:pPr>
            <w:r w:rsidRPr="007F03BF">
              <w:rPr>
                <w:rFonts w:ascii="Arial" w:hAnsi="Arial" w:cs="Arial"/>
                <w:b/>
                <w:bCs/>
                <w:color w:val="000000"/>
                <w:sz w:val="20"/>
                <w:szCs w:val="20"/>
              </w:rPr>
              <w:t>IGOT</w:t>
            </w:r>
          </w:p>
        </w:tc>
      </w:tr>
      <w:tr w:rsidR="00CE6E46" w:rsidRPr="007F03BF" w14:paraId="48F2E4B3" w14:textId="77777777" w:rsidTr="00CE6E4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52B0E5C6"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1</w:t>
            </w:r>
          </w:p>
        </w:tc>
        <w:tc>
          <w:tcPr>
            <w:tcW w:w="5136" w:type="dxa"/>
            <w:tcBorders>
              <w:top w:val="nil"/>
              <w:left w:val="nil"/>
              <w:bottom w:val="single" w:sz="4" w:space="0" w:color="auto"/>
              <w:right w:val="single" w:sz="4" w:space="0" w:color="auto"/>
            </w:tcBorders>
            <w:shd w:val="clear" w:color="auto" w:fill="auto"/>
            <w:vAlign w:val="center"/>
            <w:hideMark/>
          </w:tcPr>
          <w:p w14:paraId="676BB186" w14:textId="77777777" w:rsidR="00CE6E46" w:rsidRPr="007F03BF" w:rsidRDefault="00CE6E46" w:rsidP="00CE6E46">
            <w:pPr>
              <w:rPr>
                <w:rFonts w:ascii="Arial" w:hAnsi="Arial" w:cs="Arial"/>
                <w:color w:val="000000"/>
                <w:sz w:val="20"/>
                <w:szCs w:val="20"/>
              </w:rPr>
            </w:pPr>
            <w:r w:rsidRPr="007F03BF">
              <w:rPr>
                <w:rFonts w:ascii="Arial" w:hAnsi="Arial" w:cs="Arial"/>
                <w:color w:val="000000"/>
                <w:sz w:val="20"/>
                <w:szCs w:val="20"/>
              </w:rPr>
              <w:t>Red de Transporte Público de Pasajeros de la Ciudad de México</w:t>
            </w:r>
            <w:r w:rsidR="00635881" w:rsidRPr="007F03BF">
              <w:rPr>
                <w:rFonts w:ascii="Arial" w:hAnsi="Arial" w:cs="Arial"/>
                <w:color w:val="000000"/>
                <w:sz w:val="20"/>
                <w:szCs w:val="20"/>
              </w:rPr>
              <w:t>.</w:t>
            </w:r>
          </w:p>
        </w:tc>
        <w:tc>
          <w:tcPr>
            <w:tcW w:w="1123" w:type="dxa"/>
            <w:tcBorders>
              <w:top w:val="nil"/>
              <w:left w:val="nil"/>
              <w:bottom w:val="single" w:sz="4" w:space="0" w:color="auto"/>
              <w:right w:val="single" w:sz="4" w:space="0" w:color="auto"/>
            </w:tcBorders>
            <w:shd w:val="clear" w:color="auto" w:fill="auto"/>
            <w:vAlign w:val="center"/>
            <w:hideMark/>
          </w:tcPr>
          <w:p w14:paraId="29863E4B"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14:paraId="1E108A35"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14:paraId="7B92C740"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100.00</w:t>
            </w:r>
          </w:p>
        </w:tc>
      </w:tr>
      <w:tr w:rsidR="00CE6E46" w:rsidRPr="007F03BF" w14:paraId="6EA22D1C" w14:textId="77777777" w:rsidTr="00CE6E4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293C8A02"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2</w:t>
            </w:r>
          </w:p>
        </w:tc>
        <w:tc>
          <w:tcPr>
            <w:tcW w:w="5136" w:type="dxa"/>
            <w:tcBorders>
              <w:top w:val="nil"/>
              <w:left w:val="nil"/>
              <w:bottom w:val="single" w:sz="4" w:space="0" w:color="auto"/>
              <w:right w:val="single" w:sz="4" w:space="0" w:color="auto"/>
            </w:tcBorders>
            <w:shd w:val="clear" w:color="auto" w:fill="auto"/>
            <w:vAlign w:val="center"/>
            <w:hideMark/>
          </w:tcPr>
          <w:p w14:paraId="1287468C" w14:textId="77777777" w:rsidR="00CE6E46" w:rsidRPr="007F03BF" w:rsidRDefault="00CE6E46" w:rsidP="00CE6E46">
            <w:pPr>
              <w:rPr>
                <w:rFonts w:ascii="Arial" w:hAnsi="Arial" w:cs="Arial"/>
                <w:color w:val="000000"/>
                <w:sz w:val="20"/>
                <w:szCs w:val="20"/>
              </w:rPr>
            </w:pPr>
            <w:r w:rsidRPr="007F03BF">
              <w:rPr>
                <w:rFonts w:ascii="Arial" w:hAnsi="Arial" w:cs="Arial"/>
                <w:color w:val="000000"/>
                <w:sz w:val="20"/>
                <w:szCs w:val="20"/>
              </w:rPr>
              <w:t>Órgano Regulador de Transporte.</w:t>
            </w:r>
          </w:p>
        </w:tc>
        <w:tc>
          <w:tcPr>
            <w:tcW w:w="1123" w:type="dxa"/>
            <w:tcBorders>
              <w:top w:val="nil"/>
              <w:left w:val="nil"/>
              <w:bottom w:val="single" w:sz="4" w:space="0" w:color="auto"/>
              <w:right w:val="single" w:sz="4" w:space="0" w:color="auto"/>
            </w:tcBorders>
            <w:shd w:val="clear" w:color="auto" w:fill="auto"/>
            <w:vAlign w:val="center"/>
            <w:hideMark/>
          </w:tcPr>
          <w:p w14:paraId="6AAA17D6"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99.71</w:t>
            </w:r>
          </w:p>
        </w:tc>
        <w:tc>
          <w:tcPr>
            <w:tcW w:w="1263" w:type="dxa"/>
            <w:tcBorders>
              <w:top w:val="nil"/>
              <w:left w:val="nil"/>
              <w:bottom w:val="single" w:sz="4" w:space="0" w:color="auto"/>
              <w:right w:val="single" w:sz="4" w:space="0" w:color="auto"/>
            </w:tcBorders>
            <w:shd w:val="clear" w:color="auto" w:fill="auto"/>
            <w:vAlign w:val="center"/>
            <w:hideMark/>
          </w:tcPr>
          <w:p w14:paraId="1A6168AD"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99.22</w:t>
            </w:r>
          </w:p>
        </w:tc>
        <w:tc>
          <w:tcPr>
            <w:tcW w:w="875" w:type="dxa"/>
            <w:tcBorders>
              <w:top w:val="nil"/>
              <w:left w:val="nil"/>
              <w:bottom w:val="single" w:sz="4" w:space="0" w:color="auto"/>
              <w:right w:val="single" w:sz="4" w:space="0" w:color="auto"/>
            </w:tcBorders>
            <w:shd w:val="clear" w:color="auto" w:fill="auto"/>
            <w:vAlign w:val="center"/>
            <w:hideMark/>
          </w:tcPr>
          <w:p w14:paraId="25F978F6"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99.47</w:t>
            </w:r>
          </w:p>
        </w:tc>
      </w:tr>
      <w:tr w:rsidR="00CE6E46" w:rsidRPr="007F03BF" w14:paraId="01502584" w14:textId="77777777" w:rsidTr="00CE6E4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5EA990C4"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lastRenderedPageBreak/>
              <w:t>3</w:t>
            </w:r>
          </w:p>
        </w:tc>
        <w:tc>
          <w:tcPr>
            <w:tcW w:w="5136" w:type="dxa"/>
            <w:tcBorders>
              <w:top w:val="nil"/>
              <w:left w:val="nil"/>
              <w:bottom w:val="single" w:sz="4" w:space="0" w:color="auto"/>
              <w:right w:val="single" w:sz="4" w:space="0" w:color="auto"/>
            </w:tcBorders>
            <w:shd w:val="clear" w:color="auto" w:fill="auto"/>
            <w:vAlign w:val="center"/>
            <w:hideMark/>
          </w:tcPr>
          <w:p w14:paraId="2A23AA50" w14:textId="77777777" w:rsidR="00CE6E46" w:rsidRPr="007F03BF" w:rsidRDefault="00CE6E46" w:rsidP="00CE6E46">
            <w:pPr>
              <w:rPr>
                <w:rFonts w:ascii="Arial" w:hAnsi="Arial" w:cs="Arial"/>
                <w:color w:val="000000"/>
                <w:sz w:val="20"/>
                <w:szCs w:val="20"/>
              </w:rPr>
            </w:pPr>
            <w:r w:rsidRPr="007F03BF">
              <w:rPr>
                <w:rFonts w:ascii="Arial" w:hAnsi="Arial" w:cs="Arial"/>
                <w:color w:val="000000"/>
                <w:sz w:val="20"/>
                <w:szCs w:val="20"/>
              </w:rPr>
              <w:t>Sistema Público de Radiodifusión de la Ciudad de México</w:t>
            </w:r>
            <w:r w:rsidR="00635881" w:rsidRPr="007F03BF">
              <w:rPr>
                <w:rFonts w:ascii="Arial" w:hAnsi="Arial" w:cs="Arial"/>
                <w:color w:val="000000"/>
                <w:sz w:val="20"/>
                <w:szCs w:val="20"/>
              </w:rPr>
              <w:t>.</w:t>
            </w:r>
          </w:p>
        </w:tc>
        <w:tc>
          <w:tcPr>
            <w:tcW w:w="1123" w:type="dxa"/>
            <w:tcBorders>
              <w:top w:val="nil"/>
              <w:left w:val="nil"/>
              <w:bottom w:val="single" w:sz="4" w:space="0" w:color="auto"/>
              <w:right w:val="single" w:sz="4" w:space="0" w:color="auto"/>
            </w:tcBorders>
            <w:shd w:val="clear" w:color="auto" w:fill="auto"/>
            <w:vAlign w:val="center"/>
            <w:hideMark/>
          </w:tcPr>
          <w:p w14:paraId="35498340"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98.62</w:t>
            </w:r>
          </w:p>
        </w:tc>
        <w:tc>
          <w:tcPr>
            <w:tcW w:w="1263" w:type="dxa"/>
            <w:tcBorders>
              <w:top w:val="nil"/>
              <w:left w:val="nil"/>
              <w:bottom w:val="single" w:sz="4" w:space="0" w:color="auto"/>
              <w:right w:val="single" w:sz="4" w:space="0" w:color="auto"/>
            </w:tcBorders>
            <w:shd w:val="clear" w:color="auto" w:fill="auto"/>
            <w:vAlign w:val="center"/>
            <w:hideMark/>
          </w:tcPr>
          <w:p w14:paraId="603CECF7"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99.45</w:t>
            </w:r>
          </w:p>
        </w:tc>
        <w:tc>
          <w:tcPr>
            <w:tcW w:w="875" w:type="dxa"/>
            <w:tcBorders>
              <w:top w:val="nil"/>
              <w:left w:val="nil"/>
              <w:bottom w:val="single" w:sz="4" w:space="0" w:color="auto"/>
              <w:right w:val="single" w:sz="4" w:space="0" w:color="auto"/>
            </w:tcBorders>
            <w:shd w:val="clear" w:color="auto" w:fill="auto"/>
            <w:vAlign w:val="center"/>
            <w:hideMark/>
          </w:tcPr>
          <w:p w14:paraId="1C5B9AD9"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99.03</w:t>
            </w:r>
          </w:p>
        </w:tc>
      </w:tr>
      <w:tr w:rsidR="00CE6E46" w:rsidRPr="007F03BF" w14:paraId="1816DF82" w14:textId="77777777" w:rsidTr="00CE6E4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7ABBF2A5"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4</w:t>
            </w:r>
          </w:p>
        </w:tc>
        <w:tc>
          <w:tcPr>
            <w:tcW w:w="5136" w:type="dxa"/>
            <w:tcBorders>
              <w:top w:val="nil"/>
              <w:left w:val="nil"/>
              <w:bottom w:val="single" w:sz="4" w:space="0" w:color="auto"/>
              <w:right w:val="single" w:sz="4" w:space="0" w:color="auto"/>
            </w:tcBorders>
            <w:shd w:val="clear" w:color="auto" w:fill="auto"/>
            <w:vAlign w:val="center"/>
            <w:hideMark/>
          </w:tcPr>
          <w:p w14:paraId="17589EE7" w14:textId="77777777" w:rsidR="00CE6E46" w:rsidRPr="007F03BF" w:rsidRDefault="00CE6E46" w:rsidP="00CE6E46">
            <w:pPr>
              <w:rPr>
                <w:rFonts w:ascii="Arial" w:hAnsi="Arial" w:cs="Arial"/>
                <w:color w:val="000000"/>
                <w:sz w:val="20"/>
                <w:szCs w:val="20"/>
              </w:rPr>
            </w:pPr>
            <w:r w:rsidRPr="007F03BF">
              <w:rPr>
                <w:rFonts w:ascii="Arial" w:hAnsi="Arial" w:cs="Arial"/>
                <w:color w:val="000000"/>
                <w:sz w:val="20"/>
                <w:szCs w:val="20"/>
              </w:rPr>
              <w:t>Agencia de Atención Animal.</w:t>
            </w:r>
          </w:p>
        </w:tc>
        <w:tc>
          <w:tcPr>
            <w:tcW w:w="1123" w:type="dxa"/>
            <w:tcBorders>
              <w:top w:val="nil"/>
              <w:left w:val="nil"/>
              <w:bottom w:val="single" w:sz="4" w:space="0" w:color="auto"/>
              <w:right w:val="single" w:sz="4" w:space="0" w:color="auto"/>
            </w:tcBorders>
            <w:shd w:val="clear" w:color="auto" w:fill="auto"/>
            <w:vAlign w:val="center"/>
            <w:hideMark/>
          </w:tcPr>
          <w:p w14:paraId="3DD4C5C8"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97.14</w:t>
            </w:r>
          </w:p>
        </w:tc>
        <w:tc>
          <w:tcPr>
            <w:tcW w:w="1263" w:type="dxa"/>
            <w:tcBorders>
              <w:top w:val="nil"/>
              <w:left w:val="nil"/>
              <w:bottom w:val="single" w:sz="4" w:space="0" w:color="auto"/>
              <w:right w:val="single" w:sz="4" w:space="0" w:color="auto"/>
            </w:tcBorders>
            <w:shd w:val="clear" w:color="auto" w:fill="auto"/>
            <w:vAlign w:val="center"/>
            <w:hideMark/>
          </w:tcPr>
          <w:p w14:paraId="26B45689"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97.14</w:t>
            </w:r>
          </w:p>
        </w:tc>
        <w:tc>
          <w:tcPr>
            <w:tcW w:w="875" w:type="dxa"/>
            <w:tcBorders>
              <w:top w:val="nil"/>
              <w:left w:val="nil"/>
              <w:bottom w:val="single" w:sz="4" w:space="0" w:color="auto"/>
              <w:right w:val="single" w:sz="4" w:space="0" w:color="auto"/>
            </w:tcBorders>
            <w:shd w:val="clear" w:color="auto" w:fill="auto"/>
            <w:vAlign w:val="center"/>
            <w:hideMark/>
          </w:tcPr>
          <w:p w14:paraId="6F68872E"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97.14</w:t>
            </w:r>
          </w:p>
        </w:tc>
      </w:tr>
      <w:tr w:rsidR="00CE6E46" w:rsidRPr="007F03BF" w14:paraId="7AD03445" w14:textId="77777777" w:rsidTr="00CE6E4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40893201"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5</w:t>
            </w:r>
          </w:p>
        </w:tc>
        <w:tc>
          <w:tcPr>
            <w:tcW w:w="5136" w:type="dxa"/>
            <w:tcBorders>
              <w:top w:val="nil"/>
              <w:left w:val="nil"/>
              <w:bottom w:val="single" w:sz="4" w:space="0" w:color="auto"/>
              <w:right w:val="single" w:sz="4" w:space="0" w:color="auto"/>
            </w:tcBorders>
            <w:shd w:val="clear" w:color="auto" w:fill="auto"/>
            <w:vAlign w:val="center"/>
            <w:hideMark/>
          </w:tcPr>
          <w:p w14:paraId="6A50178B" w14:textId="77777777" w:rsidR="00CE6E46" w:rsidRPr="007F03BF" w:rsidRDefault="00CE6E46" w:rsidP="00CE6E46">
            <w:pPr>
              <w:rPr>
                <w:rFonts w:ascii="Arial" w:hAnsi="Arial" w:cs="Arial"/>
                <w:color w:val="000000"/>
                <w:sz w:val="20"/>
                <w:szCs w:val="20"/>
              </w:rPr>
            </w:pPr>
            <w:r w:rsidRPr="007F03BF">
              <w:rPr>
                <w:rFonts w:ascii="Arial" w:hAnsi="Arial" w:cs="Arial"/>
                <w:color w:val="000000"/>
                <w:sz w:val="20"/>
                <w:szCs w:val="20"/>
              </w:rPr>
              <w:t>Régimen de Protección Social en Salud de la Ciudad de México</w:t>
            </w:r>
            <w:r w:rsidR="00635881" w:rsidRPr="007F03BF">
              <w:rPr>
                <w:rFonts w:ascii="Arial" w:hAnsi="Arial" w:cs="Arial"/>
                <w:color w:val="000000"/>
                <w:sz w:val="20"/>
                <w:szCs w:val="20"/>
              </w:rPr>
              <w:t>.</w:t>
            </w:r>
          </w:p>
        </w:tc>
        <w:tc>
          <w:tcPr>
            <w:tcW w:w="1123" w:type="dxa"/>
            <w:tcBorders>
              <w:top w:val="nil"/>
              <w:left w:val="nil"/>
              <w:bottom w:val="single" w:sz="4" w:space="0" w:color="auto"/>
              <w:right w:val="single" w:sz="4" w:space="0" w:color="auto"/>
            </w:tcBorders>
            <w:shd w:val="clear" w:color="auto" w:fill="auto"/>
            <w:vAlign w:val="center"/>
            <w:hideMark/>
          </w:tcPr>
          <w:p w14:paraId="1DA41EC4"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45.91</w:t>
            </w:r>
          </w:p>
        </w:tc>
        <w:tc>
          <w:tcPr>
            <w:tcW w:w="1263" w:type="dxa"/>
            <w:tcBorders>
              <w:top w:val="nil"/>
              <w:left w:val="nil"/>
              <w:bottom w:val="single" w:sz="4" w:space="0" w:color="auto"/>
              <w:right w:val="single" w:sz="4" w:space="0" w:color="auto"/>
            </w:tcBorders>
            <w:shd w:val="clear" w:color="auto" w:fill="auto"/>
            <w:vAlign w:val="center"/>
            <w:hideMark/>
          </w:tcPr>
          <w:p w14:paraId="3C3D14ED"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75.90</w:t>
            </w:r>
          </w:p>
        </w:tc>
        <w:tc>
          <w:tcPr>
            <w:tcW w:w="875" w:type="dxa"/>
            <w:tcBorders>
              <w:top w:val="nil"/>
              <w:left w:val="nil"/>
              <w:bottom w:val="single" w:sz="4" w:space="0" w:color="auto"/>
              <w:right w:val="single" w:sz="4" w:space="0" w:color="auto"/>
            </w:tcBorders>
            <w:shd w:val="clear" w:color="auto" w:fill="auto"/>
            <w:vAlign w:val="center"/>
            <w:hideMark/>
          </w:tcPr>
          <w:p w14:paraId="0E58AC21"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60.91</w:t>
            </w:r>
          </w:p>
        </w:tc>
      </w:tr>
      <w:tr w:rsidR="00CE6E46" w:rsidRPr="007F03BF" w14:paraId="30233B01" w14:textId="77777777" w:rsidTr="00CE6E4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20722372"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6</w:t>
            </w:r>
          </w:p>
        </w:tc>
        <w:tc>
          <w:tcPr>
            <w:tcW w:w="5136" w:type="dxa"/>
            <w:tcBorders>
              <w:top w:val="nil"/>
              <w:left w:val="nil"/>
              <w:bottom w:val="single" w:sz="4" w:space="0" w:color="auto"/>
              <w:right w:val="single" w:sz="4" w:space="0" w:color="auto"/>
            </w:tcBorders>
            <w:shd w:val="clear" w:color="auto" w:fill="auto"/>
            <w:vAlign w:val="center"/>
            <w:hideMark/>
          </w:tcPr>
          <w:p w14:paraId="55C680F0" w14:textId="77777777" w:rsidR="00CE6E46" w:rsidRPr="007F03BF" w:rsidRDefault="00CE6E46" w:rsidP="00CE6E46">
            <w:pPr>
              <w:rPr>
                <w:rFonts w:ascii="Arial" w:hAnsi="Arial" w:cs="Arial"/>
                <w:color w:val="000000"/>
                <w:sz w:val="20"/>
                <w:szCs w:val="20"/>
              </w:rPr>
            </w:pPr>
            <w:r w:rsidRPr="007F03BF">
              <w:rPr>
                <w:rFonts w:ascii="Arial" w:hAnsi="Arial" w:cs="Arial"/>
                <w:color w:val="000000"/>
                <w:sz w:val="20"/>
                <w:szCs w:val="20"/>
              </w:rPr>
              <w:t>Planta Productora de Mezclas Asfálticas.</w:t>
            </w:r>
          </w:p>
        </w:tc>
        <w:tc>
          <w:tcPr>
            <w:tcW w:w="1123" w:type="dxa"/>
            <w:tcBorders>
              <w:top w:val="nil"/>
              <w:left w:val="nil"/>
              <w:bottom w:val="single" w:sz="4" w:space="0" w:color="auto"/>
              <w:right w:val="single" w:sz="4" w:space="0" w:color="auto"/>
            </w:tcBorders>
            <w:shd w:val="clear" w:color="auto" w:fill="auto"/>
            <w:vAlign w:val="center"/>
            <w:hideMark/>
          </w:tcPr>
          <w:p w14:paraId="3B4D5DB1"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40.29</w:t>
            </w:r>
          </w:p>
        </w:tc>
        <w:tc>
          <w:tcPr>
            <w:tcW w:w="1263" w:type="dxa"/>
            <w:tcBorders>
              <w:top w:val="nil"/>
              <w:left w:val="nil"/>
              <w:bottom w:val="single" w:sz="4" w:space="0" w:color="auto"/>
              <w:right w:val="single" w:sz="4" w:space="0" w:color="auto"/>
            </w:tcBorders>
            <w:shd w:val="clear" w:color="auto" w:fill="auto"/>
            <w:vAlign w:val="center"/>
            <w:hideMark/>
          </w:tcPr>
          <w:p w14:paraId="2210155C"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28.08</w:t>
            </w:r>
          </w:p>
        </w:tc>
        <w:tc>
          <w:tcPr>
            <w:tcW w:w="875" w:type="dxa"/>
            <w:tcBorders>
              <w:top w:val="nil"/>
              <w:left w:val="nil"/>
              <w:bottom w:val="single" w:sz="4" w:space="0" w:color="auto"/>
              <w:right w:val="single" w:sz="4" w:space="0" w:color="auto"/>
            </w:tcBorders>
            <w:shd w:val="clear" w:color="auto" w:fill="auto"/>
            <w:vAlign w:val="center"/>
            <w:hideMark/>
          </w:tcPr>
          <w:p w14:paraId="5E103DE4"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34.19</w:t>
            </w:r>
          </w:p>
        </w:tc>
      </w:tr>
      <w:tr w:rsidR="00CE6E46" w:rsidRPr="007F03BF" w14:paraId="06A20971" w14:textId="77777777" w:rsidTr="00CE6E4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529B73C6"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7</w:t>
            </w:r>
          </w:p>
        </w:tc>
        <w:tc>
          <w:tcPr>
            <w:tcW w:w="5136" w:type="dxa"/>
            <w:tcBorders>
              <w:top w:val="nil"/>
              <w:left w:val="nil"/>
              <w:bottom w:val="single" w:sz="4" w:space="0" w:color="auto"/>
              <w:right w:val="single" w:sz="4" w:space="0" w:color="auto"/>
            </w:tcBorders>
            <w:shd w:val="clear" w:color="auto" w:fill="auto"/>
            <w:vAlign w:val="center"/>
            <w:hideMark/>
          </w:tcPr>
          <w:p w14:paraId="30B547AD" w14:textId="77777777" w:rsidR="00CE6E46" w:rsidRPr="007F03BF" w:rsidRDefault="00CE6E46" w:rsidP="00CE6E46">
            <w:pPr>
              <w:rPr>
                <w:rFonts w:ascii="Arial" w:hAnsi="Arial" w:cs="Arial"/>
                <w:color w:val="000000"/>
                <w:sz w:val="20"/>
                <w:szCs w:val="20"/>
              </w:rPr>
            </w:pPr>
            <w:r w:rsidRPr="007F03BF">
              <w:rPr>
                <w:rFonts w:ascii="Arial" w:hAnsi="Arial" w:cs="Arial"/>
                <w:color w:val="000000"/>
                <w:sz w:val="20"/>
                <w:szCs w:val="20"/>
              </w:rPr>
              <w:t>Fondo Público de Atención al Ciclista y al Peatón.</w:t>
            </w:r>
          </w:p>
        </w:tc>
        <w:tc>
          <w:tcPr>
            <w:tcW w:w="1123" w:type="dxa"/>
            <w:tcBorders>
              <w:top w:val="nil"/>
              <w:left w:val="nil"/>
              <w:bottom w:val="single" w:sz="4" w:space="0" w:color="auto"/>
              <w:right w:val="single" w:sz="4" w:space="0" w:color="auto"/>
            </w:tcBorders>
            <w:shd w:val="clear" w:color="auto" w:fill="auto"/>
            <w:vAlign w:val="center"/>
            <w:hideMark/>
          </w:tcPr>
          <w:p w14:paraId="358B7C09"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7.08</w:t>
            </w:r>
          </w:p>
        </w:tc>
        <w:tc>
          <w:tcPr>
            <w:tcW w:w="1263" w:type="dxa"/>
            <w:tcBorders>
              <w:top w:val="nil"/>
              <w:left w:val="nil"/>
              <w:bottom w:val="single" w:sz="4" w:space="0" w:color="auto"/>
              <w:right w:val="single" w:sz="4" w:space="0" w:color="auto"/>
            </w:tcBorders>
            <w:shd w:val="clear" w:color="auto" w:fill="auto"/>
            <w:vAlign w:val="center"/>
            <w:hideMark/>
          </w:tcPr>
          <w:p w14:paraId="432223FC"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28.71</w:t>
            </w:r>
          </w:p>
        </w:tc>
        <w:tc>
          <w:tcPr>
            <w:tcW w:w="875" w:type="dxa"/>
            <w:tcBorders>
              <w:top w:val="nil"/>
              <w:left w:val="nil"/>
              <w:bottom w:val="single" w:sz="4" w:space="0" w:color="auto"/>
              <w:right w:val="single" w:sz="4" w:space="0" w:color="auto"/>
            </w:tcBorders>
            <w:shd w:val="clear" w:color="auto" w:fill="auto"/>
            <w:vAlign w:val="center"/>
            <w:hideMark/>
          </w:tcPr>
          <w:p w14:paraId="0FCB55AA" w14:textId="77777777" w:rsidR="00CE6E46" w:rsidRPr="007F03BF" w:rsidRDefault="00CE6E46" w:rsidP="00CE6E46">
            <w:pPr>
              <w:jc w:val="center"/>
              <w:rPr>
                <w:rFonts w:ascii="Arial" w:hAnsi="Arial" w:cs="Arial"/>
                <w:color w:val="000000"/>
                <w:sz w:val="20"/>
                <w:szCs w:val="20"/>
              </w:rPr>
            </w:pPr>
            <w:r w:rsidRPr="007F03BF">
              <w:rPr>
                <w:rFonts w:ascii="Arial" w:hAnsi="Arial" w:cs="Arial"/>
                <w:color w:val="000000"/>
                <w:sz w:val="20"/>
                <w:szCs w:val="20"/>
              </w:rPr>
              <w:t>17.90</w:t>
            </w:r>
          </w:p>
        </w:tc>
      </w:tr>
    </w:tbl>
    <w:p w14:paraId="1150EDC0" w14:textId="77777777" w:rsidR="00D23BCA" w:rsidRPr="007F03BF" w:rsidRDefault="00D23BCA" w:rsidP="00D23BCA">
      <w:pPr>
        <w:spacing w:before="100" w:beforeAutospacing="1" w:after="100" w:afterAutospacing="1" w:line="360" w:lineRule="auto"/>
        <w:contextualSpacing/>
        <w:jc w:val="both"/>
        <w:rPr>
          <w:rFonts w:ascii="Arial" w:hAnsi="Arial" w:cs="Arial"/>
          <w:sz w:val="16"/>
          <w:szCs w:val="16"/>
        </w:rPr>
      </w:pPr>
      <w:r w:rsidRPr="007F03BF">
        <w:rPr>
          <w:rFonts w:ascii="Arial" w:hAnsi="Arial" w:cs="Arial"/>
          <w:b/>
          <w:sz w:val="16"/>
          <w:szCs w:val="16"/>
        </w:rPr>
        <w:t>Nota metodológica</w:t>
      </w:r>
      <w:r w:rsidRPr="007F03BF">
        <w:rPr>
          <w:rFonts w:ascii="Arial" w:hAnsi="Arial" w:cs="Arial"/>
          <w:sz w:val="16"/>
          <w:szCs w:val="16"/>
        </w:rPr>
        <w:t xml:space="preserve">: </w:t>
      </w:r>
    </w:p>
    <w:p w14:paraId="68BD8CFB" w14:textId="77777777" w:rsidR="00D23BCA" w:rsidRPr="007F03BF" w:rsidRDefault="00D23BCA" w:rsidP="00D23BCA">
      <w:pPr>
        <w:spacing w:before="100" w:beforeAutospacing="1" w:after="100" w:afterAutospacing="1" w:line="360" w:lineRule="auto"/>
        <w:contextualSpacing/>
        <w:jc w:val="both"/>
        <w:rPr>
          <w:rFonts w:ascii="Arial" w:hAnsi="Arial" w:cs="Arial"/>
          <w:sz w:val="16"/>
          <w:szCs w:val="16"/>
        </w:rPr>
      </w:pPr>
      <w:r w:rsidRPr="007F03BF">
        <w:rPr>
          <w:rFonts w:ascii="Arial" w:hAnsi="Arial" w:cs="Arial"/>
          <w:sz w:val="16"/>
          <w:szCs w:val="16"/>
        </w:rPr>
        <w:t>El IGOT se compone del promedio de ICOT-PI e ICOT-PNT.</w:t>
      </w:r>
    </w:p>
    <w:p w14:paraId="4AD655CB" w14:textId="77777777" w:rsidR="00D23BCA" w:rsidRPr="007F03BF" w:rsidRDefault="00D23BCA" w:rsidP="00D23BCA">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PI:</w:t>
      </w:r>
      <w:r w:rsidRPr="007F03BF">
        <w:rPr>
          <w:rFonts w:ascii="Arial" w:hAnsi="Arial" w:cs="Arial"/>
          <w:color w:val="000000"/>
          <w:sz w:val="16"/>
          <w:szCs w:val="16"/>
        </w:rPr>
        <w:t xml:space="preserve"> corresponde al porcentaje del índice que hace referencia a la información que se encuentra publicada y actualizada en el Portal de Internet (PI) del sujeto obligado. </w:t>
      </w:r>
    </w:p>
    <w:p w14:paraId="1BA63A12" w14:textId="77777777" w:rsidR="00D23BCA" w:rsidRPr="007F03BF" w:rsidRDefault="00D23BCA" w:rsidP="00D23BCA">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PNT:</w:t>
      </w:r>
      <w:r w:rsidRPr="007F03BF">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sujeto obligado.</w:t>
      </w:r>
    </w:p>
    <w:p w14:paraId="530E788A" w14:textId="77777777" w:rsidR="00D23BCA" w:rsidRPr="007F03BF" w:rsidRDefault="00D23BCA" w:rsidP="00D23BCA">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IGOT: </w:t>
      </w:r>
      <w:r w:rsidRPr="007F03BF">
        <w:rPr>
          <w:rFonts w:ascii="Arial" w:hAnsi="Arial" w:cs="Arial"/>
          <w:color w:val="000000"/>
          <w:sz w:val="16"/>
          <w:szCs w:val="16"/>
        </w:rPr>
        <w:t>corresponde al porcentaje del índice que hace referencia a la información que se encuentra publicada y actualizada tanto en la PNT y el PI del sujeto obligado.</w:t>
      </w:r>
    </w:p>
    <w:p w14:paraId="6D332238" w14:textId="77777777" w:rsidR="00D23BCA" w:rsidRPr="007F03BF" w:rsidRDefault="00D23BCA" w:rsidP="00D23BCA">
      <w:pPr>
        <w:spacing w:before="100" w:beforeAutospacing="1" w:after="100" w:afterAutospacing="1" w:line="360" w:lineRule="auto"/>
        <w:contextualSpacing/>
        <w:jc w:val="both"/>
        <w:rPr>
          <w:rFonts w:ascii="Arial" w:hAnsi="Arial" w:cs="Arial"/>
          <w:color w:val="000000"/>
        </w:rPr>
      </w:pPr>
    </w:p>
    <w:p w14:paraId="5DB4A13F" w14:textId="5F0D55E0" w:rsidR="00D23BCA" w:rsidRPr="007F03BF" w:rsidRDefault="00D23BCA" w:rsidP="00D23BCA">
      <w:pPr>
        <w:spacing w:before="100" w:beforeAutospacing="1" w:after="100" w:afterAutospacing="1" w:line="360" w:lineRule="auto"/>
        <w:contextualSpacing/>
        <w:jc w:val="both"/>
        <w:rPr>
          <w:rFonts w:ascii="Arial" w:hAnsi="Arial" w:cs="Arial"/>
        </w:rPr>
      </w:pPr>
      <w:r w:rsidRPr="007F03BF">
        <w:rPr>
          <w:rFonts w:ascii="Arial" w:hAnsi="Arial" w:cs="Arial"/>
        </w:rPr>
        <w:t xml:space="preserve">En atención a la Tabla de Aplicabilidad realizada por la </w:t>
      </w:r>
      <w:r w:rsidR="00443947" w:rsidRPr="007F03BF">
        <w:rPr>
          <w:rFonts w:ascii="Arial" w:hAnsi="Arial" w:cs="Arial"/>
        </w:rPr>
        <w:t>Dirección</w:t>
      </w:r>
      <w:r w:rsidRPr="007F03BF">
        <w:rPr>
          <w:rFonts w:ascii="Arial" w:hAnsi="Arial" w:cs="Arial"/>
        </w:rPr>
        <w:t xml:space="preserve"> del Instituto, las obligaciones que el Poder Ejecutivo – </w:t>
      </w:r>
      <w:r w:rsidR="00F04A2C" w:rsidRPr="007F03BF">
        <w:rPr>
          <w:rFonts w:ascii="Arial" w:hAnsi="Arial" w:cs="Arial"/>
        </w:rPr>
        <w:t xml:space="preserve">Órganos Desconcentrados, Fondos y Fideicomisos </w:t>
      </w:r>
      <w:r w:rsidRPr="007F03BF">
        <w:rPr>
          <w:rFonts w:ascii="Arial" w:hAnsi="Arial" w:cs="Arial"/>
        </w:rPr>
        <w:t xml:space="preserve">debe actualizar y publicar en el SIPOT de la PNT, así como en sus respectivos portales de internet son las contempladas en los siguientes artículos: </w:t>
      </w:r>
    </w:p>
    <w:p w14:paraId="759AE518" w14:textId="77777777" w:rsidR="00D23BCA" w:rsidRPr="007F03BF" w:rsidRDefault="00D23BCA"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Artículo 121. Obligaciones comunes,</w:t>
      </w:r>
    </w:p>
    <w:p w14:paraId="5253C98C" w14:textId="77777777" w:rsidR="00D23BCA" w:rsidRPr="007F03BF" w:rsidRDefault="00D23BCA"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Artículo</w:t>
      </w:r>
      <w:r w:rsidR="00F04A2C" w:rsidRPr="007F03BF">
        <w:rPr>
          <w:rFonts w:ascii="Arial" w:hAnsi="Arial" w:cs="Arial"/>
          <w:sz w:val="24"/>
          <w:szCs w:val="24"/>
        </w:rPr>
        <w:t xml:space="preserve"> </w:t>
      </w:r>
      <w:r w:rsidRPr="007F03BF">
        <w:rPr>
          <w:rFonts w:ascii="Arial" w:hAnsi="Arial" w:cs="Arial"/>
          <w:sz w:val="24"/>
          <w:szCs w:val="24"/>
        </w:rPr>
        <w:t>12</w:t>
      </w:r>
      <w:r w:rsidR="00F04A2C" w:rsidRPr="007F03BF">
        <w:rPr>
          <w:rFonts w:ascii="Arial" w:hAnsi="Arial" w:cs="Arial"/>
          <w:sz w:val="24"/>
          <w:szCs w:val="24"/>
        </w:rPr>
        <w:t>3</w:t>
      </w:r>
      <w:r w:rsidRPr="007F03BF">
        <w:rPr>
          <w:rFonts w:ascii="Arial" w:hAnsi="Arial" w:cs="Arial"/>
          <w:sz w:val="24"/>
          <w:szCs w:val="24"/>
        </w:rPr>
        <w:t xml:space="preserve">. Obligaciones Específicas </w:t>
      </w:r>
      <w:r w:rsidR="00F04A2C" w:rsidRPr="007F03BF">
        <w:rPr>
          <w:rFonts w:ascii="Arial" w:hAnsi="Arial" w:cs="Arial"/>
          <w:sz w:val="24"/>
          <w:szCs w:val="24"/>
        </w:rPr>
        <w:t>del Poder Ejecutivo,</w:t>
      </w:r>
    </w:p>
    <w:p w14:paraId="7367D533" w14:textId="77777777" w:rsidR="00D23BCA" w:rsidRPr="007F03BF" w:rsidRDefault="00D23BCA"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Artículo 143. Disposiciones Particulares,</w:t>
      </w:r>
    </w:p>
    <w:p w14:paraId="716B0175" w14:textId="77777777" w:rsidR="00D23BCA" w:rsidRPr="007F03BF" w:rsidRDefault="00D23BCA"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145. Disposiciones Particulares, </w:t>
      </w:r>
    </w:p>
    <w:p w14:paraId="3123D021" w14:textId="77777777" w:rsidR="00D23BCA" w:rsidRPr="007F03BF" w:rsidRDefault="00D23BCA"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146. Disposiciones Particulares, </w:t>
      </w:r>
    </w:p>
    <w:p w14:paraId="45F447BF" w14:textId="77777777" w:rsidR="00D23BCA" w:rsidRPr="007F03BF" w:rsidRDefault="00D23BCA" w:rsidP="00FF7BD9">
      <w:pPr>
        <w:pStyle w:val="Prrafodelista"/>
        <w:numPr>
          <w:ilvl w:val="0"/>
          <w:numId w:val="12"/>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147. Disposiciones Particulares. </w:t>
      </w:r>
    </w:p>
    <w:p w14:paraId="47714859" w14:textId="77777777" w:rsidR="00D23BCA" w:rsidRPr="007F03BF" w:rsidRDefault="00D23BCA" w:rsidP="00F04A2C">
      <w:pPr>
        <w:pStyle w:val="Ttulo2"/>
        <w:contextualSpacing/>
        <w:jc w:val="both"/>
        <w:rPr>
          <w:rFonts w:ascii="Arial" w:hAnsi="Arial" w:cs="Arial"/>
        </w:rPr>
      </w:pPr>
      <w:bookmarkStart w:id="16" w:name="_Toc39683998"/>
      <w:r w:rsidRPr="007F03BF">
        <w:rPr>
          <w:rFonts w:ascii="Arial" w:hAnsi="Arial" w:cs="Arial"/>
          <w:b/>
          <w:color w:val="auto"/>
          <w:sz w:val="24"/>
          <w:szCs w:val="24"/>
        </w:rPr>
        <w:lastRenderedPageBreak/>
        <w:t>Análisis global de cumplimiento de</w:t>
      </w:r>
      <w:r w:rsidRPr="007F03BF">
        <w:rPr>
          <w:rFonts w:ascii="Arial" w:hAnsi="Arial" w:cs="Arial"/>
          <w:b/>
          <w:color w:val="000000" w:themeColor="text1"/>
          <w:sz w:val="24"/>
          <w:szCs w:val="24"/>
        </w:rPr>
        <w:t xml:space="preserve">l Poder Ejecutivo – </w:t>
      </w:r>
      <w:r w:rsidR="00F04A2C" w:rsidRPr="007F03BF">
        <w:rPr>
          <w:rFonts w:ascii="Arial" w:hAnsi="Arial" w:cs="Arial"/>
          <w:b/>
          <w:color w:val="000000" w:themeColor="text1"/>
        </w:rPr>
        <w:t>Órganos Desconcentrados, Fondos y Fideicomisos</w:t>
      </w:r>
      <w:bookmarkEnd w:id="16"/>
    </w:p>
    <w:p w14:paraId="5FF14FA1" w14:textId="77777777" w:rsidR="00D23BCA" w:rsidRPr="007F03BF" w:rsidRDefault="00D23BCA" w:rsidP="00D23BCA">
      <w:pPr>
        <w:spacing w:before="100" w:beforeAutospacing="1" w:after="100" w:afterAutospacing="1" w:line="360" w:lineRule="auto"/>
        <w:contextualSpacing/>
        <w:jc w:val="both"/>
        <w:rPr>
          <w:rFonts w:ascii="Arial" w:hAnsi="Arial" w:cs="Arial"/>
          <w:u w:val="single"/>
        </w:rPr>
      </w:pPr>
      <w:r w:rsidRPr="007F03BF">
        <w:rPr>
          <w:rFonts w:ascii="Arial" w:hAnsi="Arial" w:cs="Arial"/>
          <w:u w:val="single"/>
        </w:rPr>
        <w:t>Índices Globales de Cumplimiento de las obligaciones de transparencia</w:t>
      </w:r>
    </w:p>
    <w:p w14:paraId="4788B066" w14:textId="77777777" w:rsidR="00D23BCA" w:rsidRPr="007F03BF" w:rsidRDefault="00D23BCA" w:rsidP="00D23BCA">
      <w:pPr>
        <w:spacing w:before="100" w:beforeAutospacing="1" w:after="100" w:afterAutospacing="1" w:line="360" w:lineRule="auto"/>
        <w:contextualSpacing/>
        <w:jc w:val="both"/>
        <w:rPr>
          <w:rFonts w:ascii="Arial" w:hAnsi="Arial" w:cs="Arial"/>
        </w:rPr>
      </w:pPr>
    </w:p>
    <w:p w14:paraId="61E41BE2" w14:textId="77777777" w:rsidR="00D23BCA" w:rsidRPr="007F03BF" w:rsidRDefault="00D23BCA" w:rsidP="00D23BCA">
      <w:pPr>
        <w:spacing w:before="100" w:beforeAutospacing="1" w:after="100" w:afterAutospacing="1" w:line="360" w:lineRule="auto"/>
        <w:contextualSpacing/>
        <w:jc w:val="both"/>
        <w:rPr>
          <w:rFonts w:ascii="Arial" w:hAnsi="Arial" w:cs="Arial"/>
        </w:rPr>
      </w:pPr>
      <w:r w:rsidRPr="007F03BF">
        <w:rPr>
          <w:rFonts w:ascii="Arial" w:hAnsi="Arial" w:cs="Arial"/>
        </w:rPr>
        <w:t xml:space="preserve">El ámbito del Poder Ejecutivo – </w:t>
      </w:r>
      <w:r w:rsidR="00F04A2C" w:rsidRPr="007F03BF">
        <w:rPr>
          <w:rFonts w:ascii="Arial" w:hAnsi="Arial" w:cs="Arial"/>
        </w:rPr>
        <w:t>Órganos Desconcentrados, Fondos y Fideicomisos</w:t>
      </w:r>
      <w:r w:rsidRPr="007F03BF">
        <w:rPr>
          <w:rFonts w:ascii="Arial" w:hAnsi="Arial" w:cs="Arial"/>
        </w:rPr>
        <w:t xml:space="preserve"> obtuvo un IGOT de </w:t>
      </w:r>
      <w:r w:rsidR="007D2FB3" w:rsidRPr="007F03BF">
        <w:rPr>
          <w:rFonts w:ascii="Arial" w:hAnsi="Arial" w:cs="Arial"/>
        </w:rPr>
        <w:t>72.66</w:t>
      </w:r>
      <w:r w:rsidRPr="007F03BF">
        <w:rPr>
          <w:rFonts w:ascii="Arial" w:hAnsi="Arial" w:cs="Arial"/>
        </w:rPr>
        <w:t xml:space="preserve">%, el cual está compuesto por un índice de </w:t>
      </w:r>
      <w:r w:rsidR="007D2FB3" w:rsidRPr="007F03BF">
        <w:rPr>
          <w:rFonts w:ascii="Arial" w:hAnsi="Arial" w:cs="Arial"/>
        </w:rPr>
        <w:t>75.5</w:t>
      </w:r>
      <w:r w:rsidRPr="007F03BF">
        <w:rPr>
          <w:rFonts w:ascii="Arial" w:hAnsi="Arial" w:cs="Arial"/>
        </w:rPr>
        <w:t xml:space="preserve">% en lo que corresponde a la Plataforma Nacional de Transparencia (PNT) y un índice de </w:t>
      </w:r>
      <w:r w:rsidR="007D2FB3" w:rsidRPr="007F03BF">
        <w:rPr>
          <w:rFonts w:ascii="Arial" w:hAnsi="Arial" w:cs="Arial"/>
        </w:rPr>
        <w:t>69.82</w:t>
      </w:r>
      <w:r w:rsidRPr="007F03BF">
        <w:rPr>
          <w:rFonts w:ascii="Arial" w:hAnsi="Arial" w:cs="Arial"/>
        </w:rPr>
        <w:t>% en lo que se refiere al Portal de Transparencia (PI).</w:t>
      </w:r>
    </w:p>
    <w:p w14:paraId="070E9D59" w14:textId="77777777" w:rsidR="00D23BCA" w:rsidRPr="007F03BF" w:rsidRDefault="00D23BCA" w:rsidP="00D23BCA">
      <w:pPr>
        <w:spacing w:before="100" w:beforeAutospacing="1" w:after="100" w:afterAutospacing="1" w:line="360" w:lineRule="auto"/>
        <w:contextualSpacing/>
        <w:jc w:val="both"/>
        <w:rPr>
          <w:rFonts w:ascii="Arial" w:hAnsi="Arial" w:cs="Arial"/>
        </w:rPr>
      </w:pPr>
    </w:p>
    <w:p w14:paraId="56B7168E" w14:textId="5D341990" w:rsidR="00F04A2C" w:rsidRPr="007F03BF" w:rsidRDefault="007D2FB3" w:rsidP="00D23BCA">
      <w:pPr>
        <w:spacing w:before="100" w:beforeAutospacing="1" w:after="100" w:afterAutospacing="1" w:line="360" w:lineRule="auto"/>
        <w:contextualSpacing/>
        <w:jc w:val="both"/>
        <w:rPr>
          <w:rFonts w:ascii="Arial" w:hAnsi="Arial" w:cs="Arial"/>
        </w:rPr>
      </w:pPr>
      <w:r w:rsidRPr="007F03BF">
        <w:rPr>
          <w:rFonts w:ascii="Arial" w:hAnsi="Arial" w:cs="Arial"/>
        </w:rPr>
        <w:t>Un</w:t>
      </w:r>
      <w:r w:rsidR="00F04A2C" w:rsidRPr="007F03BF">
        <w:rPr>
          <w:rFonts w:ascii="Arial" w:hAnsi="Arial" w:cs="Arial"/>
        </w:rPr>
        <w:t xml:space="preserve"> Órgano Desconcentrado cumpli</w:t>
      </w:r>
      <w:r w:rsidRPr="007F03BF">
        <w:rPr>
          <w:rFonts w:ascii="Arial" w:hAnsi="Arial" w:cs="Arial"/>
        </w:rPr>
        <w:t>ó</w:t>
      </w:r>
      <w:r w:rsidR="00F04A2C" w:rsidRPr="007F03BF">
        <w:rPr>
          <w:rFonts w:ascii="Arial" w:hAnsi="Arial" w:cs="Arial"/>
        </w:rPr>
        <w:t xml:space="preserve"> totalmente con el piso mínimo contemplado en la Ley de Transparencia </w:t>
      </w:r>
      <w:r w:rsidR="00D47F3C" w:rsidRPr="007F03BF">
        <w:rPr>
          <w:rFonts w:ascii="Arial" w:hAnsi="Arial" w:cs="Arial"/>
        </w:rPr>
        <w:t>local</w:t>
      </w:r>
      <w:r w:rsidR="00F04A2C" w:rsidRPr="007F03BF">
        <w:rPr>
          <w:rFonts w:ascii="Arial" w:hAnsi="Arial" w:cs="Arial"/>
        </w:rPr>
        <w:t xml:space="preserve">, </w:t>
      </w:r>
      <w:r w:rsidRPr="007F03BF">
        <w:rPr>
          <w:rFonts w:ascii="Arial" w:hAnsi="Arial" w:cs="Arial"/>
        </w:rPr>
        <w:t>cuatro</w:t>
      </w:r>
      <w:r w:rsidR="00F04A2C" w:rsidRPr="007F03BF">
        <w:rPr>
          <w:rFonts w:ascii="Arial" w:hAnsi="Arial" w:cs="Arial"/>
        </w:rPr>
        <w:t xml:space="preserve"> sujetos obligados se encuentran ubicados en un cumplimiento parcial y </w:t>
      </w:r>
      <w:r w:rsidRPr="007F03BF">
        <w:rPr>
          <w:rFonts w:ascii="Arial" w:hAnsi="Arial" w:cs="Arial"/>
        </w:rPr>
        <w:t>dos</w:t>
      </w:r>
      <w:r w:rsidR="00F04A2C" w:rsidRPr="007F03BF">
        <w:rPr>
          <w:rFonts w:ascii="Arial" w:hAnsi="Arial" w:cs="Arial"/>
        </w:rPr>
        <w:t xml:space="preserve"> en un incumplimiento parcial. </w:t>
      </w:r>
    </w:p>
    <w:p w14:paraId="48E91A68" w14:textId="77777777" w:rsidR="00F04A2C" w:rsidRPr="007F03BF" w:rsidRDefault="00F04A2C" w:rsidP="00D23BCA">
      <w:pPr>
        <w:spacing w:before="100" w:beforeAutospacing="1" w:after="100" w:afterAutospacing="1" w:line="360" w:lineRule="auto"/>
        <w:contextualSpacing/>
        <w:jc w:val="both"/>
        <w:rPr>
          <w:rFonts w:ascii="Arial" w:hAnsi="Arial" w:cs="Arial"/>
        </w:rPr>
      </w:pPr>
    </w:p>
    <w:p w14:paraId="31A6D2EF" w14:textId="77777777" w:rsidR="00B31CF3" w:rsidRPr="007F03BF" w:rsidRDefault="00F04A2C" w:rsidP="00D23BCA">
      <w:pPr>
        <w:spacing w:before="100" w:beforeAutospacing="1" w:after="100" w:afterAutospacing="1" w:line="360" w:lineRule="auto"/>
        <w:contextualSpacing/>
        <w:jc w:val="both"/>
        <w:rPr>
          <w:rFonts w:ascii="Arial" w:hAnsi="Arial" w:cs="Arial"/>
        </w:rPr>
      </w:pPr>
      <w:r w:rsidRPr="007F03BF">
        <w:rPr>
          <w:rFonts w:ascii="Arial" w:hAnsi="Arial" w:cs="Arial"/>
        </w:rPr>
        <w:t xml:space="preserve">De los </w:t>
      </w:r>
      <w:r w:rsidR="007D2FB3" w:rsidRPr="007F03BF">
        <w:rPr>
          <w:rFonts w:ascii="Arial" w:hAnsi="Arial" w:cs="Arial"/>
        </w:rPr>
        <w:t>seis</w:t>
      </w:r>
      <w:r w:rsidRPr="007F03BF">
        <w:rPr>
          <w:rFonts w:ascii="Arial" w:hAnsi="Arial" w:cs="Arial"/>
        </w:rPr>
        <w:t xml:space="preserve"> sujetos que tuvieron un cumplimiento parcial, </w:t>
      </w:r>
      <w:r w:rsidR="007D2FB3" w:rsidRPr="007F03BF">
        <w:rPr>
          <w:rFonts w:ascii="Arial" w:hAnsi="Arial" w:cs="Arial"/>
        </w:rPr>
        <w:t>tres</w:t>
      </w:r>
      <w:r w:rsidRPr="007F03BF">
        <w:rPr>
          <w:rFonts w:ascii="Arial" w:hAnsi="Arial" w:cs="Arial"/>
        </w:rPr>
        <w:t xml:space="preserve"> sujetos tuvieron un IGOT entre 90% y 99%</w:t>
      </w:r>
      <w:r w:rsidR="007D2FB3" w:rsidRPr="007F03BF">
        <w:rPr>
          <w:rFonts w:ascii="Arial" w:hAnsi="Arial" w:cs="Arial"/>
        </w:rPr>
        <w:t xml:space="preserve"> y un</w:t>
      </w:r>
      <w:r w:rsidR="00B31CF3" w:rsidRPr="007F03BF">
        <w:rPr>
          <w:rFonts w:ascii="Arial" w:hAnsi="Arial" w:cs="Arial"/>
        </w:rPr>
        <w:t xml:space="preserve"> sujeto un IGOT entre </w:t>
      </w:r>
      <w:r w:rsidR="007D2FB3" w:rsidRPr="007F03BF">
        <w:rPr>
          <w:rFonts w:ascii="Arial" w:hAnsi="Arial" w:cs="Arial"/>
        </w:rPr>
        <w:t>60% y 65</w:t>
      </w:r>
      <w:r w:rsidR="00B31CF3" w:rsidRPr="007F03BF">
        <w:rPr>
          <w:rFonts w:ascii="Arial" w:hAnsi="Arial" w:cs="Arial"/>
        </w:rPr>
        <w:t>%</w:t>
      </w:r>
      <w:r w:rsidR="007D2FB3" w:rsidRPr="007F03BF">
        <w:rPr>
          <w:rFonts w:ascii="Arial" w:hAnsi="Arial" w:cs="Arial"/>
        </w:rPr>
        <w:t>.</w:t>
      </w:r>
    </w:p>
    <w:p w14:paraId="67F6FBC8" w14:textId="77777777" w:rsidR="00B31CF3" w:rsidRPr="007F03BF" w:rsidRDefault="00B31CF3" w:rsidP="00D23BCA">
      <w:pPr>
        <w:spacing w:before="100" w:beforeAutospacing="1" w:after="100" w:afterAutospacing="1" w:line="360" w:lineRule="auto"/>
        <w:contextualSpacing/>
        <w:jc w:val="both"/>
        <w:rPr>
          <w:rFonts w:ascii="Arial" w:hAnsi="Arial" w:cs="Arial"/>
        </w:rPr>
      </w:pPr>
    </w:p>
    <w:p w14:paraId="09260326" w14:textId="77777777" w:rsidR="00D23BCA" w:rsidRPr="007F03BF" w:rsidRDefault="007D2FB3" w:rsidP="00D23BCA">
      <w:pPr>
        <w:spacing w:before="100" w:beforeAutospacing="1" w:after="100" w:afterAutospacing="1" w:line="360" w:lineRule="auto"/>
        <w:contextualSpacing/>
        <w:jc w:val="both"/>
        <w:rPr>
          <w:rFonts w:ascii="Arial" w:hAnsi="Arial" w:cs="Arial"/>
        </w:rPr>
      </w:pPr>
      <w:r w:rsidRPr="007F03BF">
        <w:rPr>
          <w:rFonts w:ascii="Arial" w:hAnsi="Arial" w:cs="Arial"/>
        </w:rPr>
        <w:t>Los dos</w:t>
      </w:r>
      <w:r w:rsidR="00B31CF3" w:rsidRPr="007F03BF">
        <w:rPr>
          <w:rFonts w:ascii="Arial" w:hAnsi="Arial" w:cs="Arial"/>
        </w:rPr>
        <w:t xml:space="preserve"> sujetos que tuvieron un incumplimiento parcial</w:t>
      </w:r>
      <w:r w:rsidRPr="007F03BF">
        <w:rPr>
          <w:rFonts w:ascii="Arial" w:hAnsi="Arial" w:cs="Arial"/>
        </w:rPr>
        <w:t>, su IGOT se encuentra ubicado entre 17% y 35%.</w:t>
      </w:r>
    </w:p>
    <w:p w14:paraId="125373F7" w14:textId="77777777" w:rsidR="00B31CF3" w:rsidRPr="007F03BF" w:rsidRDefault="00B31CF3" w:rsidP="00D23BCA">
      <w:pPr>
        <w:spacing w:before="100" w:beforeAutospacing="1" w:after="100" w:afterAutospacing="1" w:line="360" w:lineRule="auto"/>
        <w:contextualSpacing/>
        <w:jc w:val="both"/>
        <w:rPr>
          <w:rFonts w:ascii="Arial" w:hAnsi="Arial" w:cs="Arial"/>
        </w:rPr>
      </w:pPr>
    </w:p>
    <w:p w14:paraId="2694962F" w14:textId="627E1036" w:rsidR="00D23BCA" w:rsidRPr="007F03BF" w:rsidRDefault="00D23BCA" w:rsidP="00D23BCA">
      <w:pPr>
        <w:spacing w:before="100" w:beforeAutospacing="1" w:after="100" w:afterAutospacing="1" w:line="360" w:lineRule="auto"/>
        <w:contextualSpacing/>
        <w:jc w:val="both"/>
        <w:rPr>
          <w:rFonts w:ascii="Arial" w:hAnsi="Arial" w:cs="Arial"/>
        </w:rPr>
      </w:pPr>
      <w:r w:rsidRPr="007F03BF">
        <w:rPr>
          <w:rFonts w:ascii="Arial" w:hAnsi="Arial" w:cs="Arial"/>
        </w:rPr>
        <w:t xml:space="preserve">Con relación a la </w:t>
      </w:r>
      <w:r w:rsidR="007D2FB3" w:rsidRPr="007F03BF">
        <w:rPr>
          <w:rFonts w:ascii="Arial" w:hAnsi="Arial" w:cs="Arial"/>
        </w:rPr>
        <w:t>Segunda</w:t>
      </w:r>
      <w:r w:rsidRPr="007F03BF">
        <w:rPr>
          <w:rFonts w:ascii="Arial" w:hAnsi="Arial" w:cs="Arial"/>
        </w:rPr>
        <w:t xml:space="preserve"> Evaluación Vinculante 2019, este ámbito tuvo un incremento sustantivo, puesto que pasó de tener un IGOT de 6</w:t>
      </w:r>
      <w:r w:rsidR="007D2FB3" w:rsidRPr="007F03BF">
        <w:rPr>
          <w:rFonts w:ascii="Arial" w:hAnsi="Arial" w:cs="Arial"/>
        </w:rPr>
        <w:t>6.72</w:t>
      </w:r>
      <w:r w:rsidRPr="007F03BF">
        <w:rPr>
          <w:rFonts w:ascii="Arial" w:hAnsi="Arial" w:cs="Arial"/>
        </w:rPr>
        <w:t xml:space="preserve">% a uno de </w:t>
      </w:r>
      <w:r w:rsidR="007D2FB3" w:rsidRPr="007F03BF">
        <w:rPr>
          <w:rFonts w:ascii="Arial" w:hAnsi="Arial" w:cs="Arial"/>
        </w:rPr>
        <w:t>72.66</w:t>
      </w:r>
      <w:r w:rsidRPr="007F03BF">
        <w:rPr>
          <w:rFonts w:ascii="Arial" w:hAnsi="Arial" w:cs="Arial"/>
        </w:rPr>
        <w:t xml:space="preserve">%; manteniéndose con un cumplimiento parcial de las obligaciones de transparencia de la Ley de Transparencia </w:t>
      </w:r>
      <w:r w:rsidR="00D47F3C" w:rsidRPr="007F03BF">
        <w:rPr>
          <w:rFonts w:ascii="Arial" w:hAnsi="Arial" w:cs="Arial"/>
        </w:rPr>
        <w:t>local</w:t>
      </w:r>
      <w:r w:rsidRPr="007F03BF">
        <w:rPr>
          <w:rFonts w:ascii="Arial" w:hAnsi="Arial" w:cs="Arial"/>
        </w:rPr>
        <w:t xml:space="preserve">. Este ámbito tuvo un incremento de </w:t>
      </w:r>
      <w:r w:rsidR="007D2FB3" w:rsidRPr="007F03BF">
        <w:rPr>
          <w:rFonts w:ascii="Arial" w:hAnsi="Arial" w:cs="Arial"/>
        </w:rPr>
        <w:t>5.94 puntos</w:t>
      </w:r>
      <w:r w:rsidRPr="007F03BF">
        <w:rPr>
          <w:rFonts w:ascii="Arial" w:hAnsi="Arial" w:cs="Arial"/>
        </w:rPr>
        <w:t xml:space="preserve"> dentro de su índice. </w:t>
      </w:r>
    </w:p>
    <w:p w14:paraId="2D525F8B" w14:textId="77777777" w:rsidR="00D23BCA" w:rsidRPr="007F03BF" w:rsidRDefault="00D23BCA" w:rsidP="00D23BCA">
      <w:pPr>
        <w:spacing w:before="100" w:beforeAutospacing="1" w:after="100" w:afterAutospacing="1" w:line="360" w:lineRule="auto"/>
        <w:contextualSpacing/>
        <w:jc w:val="both"/>
        <w:rPr>
          <w:rFonts w:ascii="Arial" w:hAnsi="Arial" w:cs="Arial"/>
        </w:rPr>
      </w:pPr>
    </w:p>
    <w:p w14:paraId="4C282280" w14:textId="77777777" w:rsidR="00D23BCA" w:rsidRPr="007F03BF" w:rsidRDefault="00D23BCA" w:rsidP="00D23BCA">
      <w:pPr>
        <w:spacing w:before="100" w:beforeAutospacing="1" w:after="100" w:afterAutospacing="1" w:line="360" w:lineRule="auto"/>
        <w:contextualSpacing/>
        <w:jc w:val="both"/>
        <w:rPr>
          <w:rFonts w:ascii="Arial" w:hAnsi="Arial" w:cs="Arial"/>
          <w:u w:val="single"/>
        </w:rPr>
      </w:pPr>
      <w:r w:rsidRPr="007F03BF">
        <w:rPr>
          <w:rFonts w:ascii="Arial" w:hAnsi="Arial" w:cs="Arial"/>
          <w:u w:val="single"/>
        </w:rPr>
        <w:t xml:space="preserve">Cumplimiento diferenciado por artículos </w:t>
      </w:r>
    </w:p>
    <w:p w14:paraId="3AC05B85" w14:textId="77777777" w:rsidR="00D23BCA" w:rsidRPr="007F03BF" w:rsidRDefault="00D23BCA" w:rsidP="00D23BCA">
      <w:pPr>
        <w:spacing w:before="100" w:beforeAutospacing="1" w:after="100" w:afterAutospacing="1" w:line="360" w:lineRule="auto"/>
        <w:contextualSpacing/>
        <w:jc w:val="both"/>
        <w:rPr>
          <w:rFonts w:ascii="Arial" w:hAnsi="Arial" w:cs="Arial"/>
          <w:u w:val="single"/>
        </w:rPr>
      </w:pPr>
    </w:p>
    <w:p w14:paraId="0083E10D" w14:textId="77777777" w:rsidR="00D23BCA" w:rsidRPr="007F03BF" w:rsidRDefault="00D23BCA" w:rsidP="00D23BCA">
      <w:pPr>
        <w:spacing w:before="100" w:beforeAutospacing="1" w:after="100" w:afterAutospacing="1" w:line="360" w:lineRule="auto"/>
        <w:contextualSpacing/>
        <w:jc w:val="both"/>
        <w:rPr>
          <w:rFonts w:ascii="Arial" w:hAnsi="Arial" w:cs="Arial"/>
        </w:rPr>
      </w:pPr>
      <w:r w:rsidRPr="007F03BF">
        <w:rPr>
          <w:rFonts w:ascii="Arial" w:hAnsi="Arial" w:cs="Arial"/>
        </w:rPr>
        <w:lastRenderedPageBreak/>
        <w:t xml:space="preserve">Con relación al tipo de obligaciones de transparencia, este ámbito ha cumplido parcialmente con sus obligaciones comunes, específicas y disposiciones particulares, obteniendo un ICP de </w:t>
      </w:r>
      <w:r w:rsidR="007D2FB3" w:rsidRPr="007F03BF">
        <w:rPr>
          <w:rFonts w:ascii="Arial" w:hAnsi="Arial" w:cs="Arial"/>
        </w:rPr>
        <w:t>73.22</w:t>
      </w:r>
      <w:r w:rsidRPr="007F03BF">
        <w:rPr>
          <w:rFonts w:ascii="Arial" w:hAnsi="Arial" w:cs="Arial"/>
        </w:rPr>
        <w:t xml:space="preserve">%, </w:t>
      </w:r>
      <w:r w:rsidR="00B65C89" w:rsidRPr="007F03BF">
        <w:rPr>
          <w:rFonts w:ascii="Arial" w:hAnsi="Arial" w:cs="Arial"/>
        </w:rPr>
        <w:t>7</w:t>
      </w:r>
      <w:r w:rsidR="007D2FB3" w:rsidRPr="007F03BF">
        <w:rPr>
          <w:rFonts w:ascii="Arial" w:hAnsi="Arial" w:cs="Arial"/>
        </w:rPr>
        <w:t>7.62</w:t>
      </w:r>
      <w:r w:rsidRPr="007F03BF">
        <w:rPr>
          <w:rFonts w:ascii="Arial" w:hAnsi="Arial" w:cs="Arial"/>
        </w:rPr>
        <w:t xml:space="preserve">% y </w:t>
      </w:r>
      <w:r w:rsidR="007D2FB3" w:rsidRPr="007F03BF">
        <w:rPr>
          <w:rFonts w:ascii="Arial" w:hAnsi="Arial" w:cs="Arial"/>
        </w:rPr>
        <w:t>77.10</w:t>
      </w:r>
      <w:r w:rsidRPr="007F03BF">
        <w:rPr>
          <w:rFonts w:ascii="Arial" w:hAnsi="Arial" w:cs="Arial"/>
        </w:rPr>
        <w:t xml:space="preserve">%, respectivamente. </w:t>
      </w:r>
    </w:p>
    <w:p w14:paraId="5E5D5A21" w14:textId="77777777" w:rsidR="00D23BCA" w:rsidRPr="007F03BF" w:rsidRDefault="00D23BCA" w:rsidP="00D23BCA">
      <w:pPr>
        <w:spacing w:before="100" w:beforeAutospacing="1" w:after="100" w:afterAutospacing="1" w:line="360" w:lineRule="auto"/>
        <w:contextualSpacing/>
        <w:jc w:val="both"/>
        <w:rPr>
          <w:rFonts w:ascii="Arial" w:hAnsi="Arial" w:cs="Arial"/>
        </w:rPr>
      </w:pPr>
    </w:p>
    <w:p w14:paraId="3E579CD9" w14:textId="77777777" w:rsidR="00D23BCA" w:rsidRPr="007F03BF" w:rsidRDefault="00D23BCA" w:rsidP="00D23BCA">
      <w:pPr>
        <w:spacing w:before="100" w:beforeAutospacing="1" w:after="100" w:afterAutospacing="1" w:line="360" w:lineRule="auto"/>
        <w:contextualSpacing/>
        <w:jc w:val="both"/>
        <w:rPr>
          <w:rFonts w:ascii="Arial" w:hAnsi="Arial" w:cs="Arial"/>
        </w:rPr>
      </w:pPr>
      <w:r w:rsidRPr="007F03BF">
        <w:rPr>
          <w:rFonts w:ascii="Arial" w:hAnsi="Arial" w:cs="Arial"/>
        </w:rPr>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B2542B" w:rsidRPr="007F03BF" w14:paraId="3A5C0CFE" w14:textId="77777777" w:rsidTr="008C4FD7">
        <w:tc>
          <w:tcPr>
            <w:tcW w:w="3659" w:type="dxa"/>
            <w:shd w:val="clear" w:color="auto" w:fill="70AD47" w:themeFill="accent6"/>
            <w:vAlign w:val="center"/>
          </w:tcPr>
          <w:p w14:paraId="4229159C" w14:textId="77777777"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Artículo</w:t>
            </w:r>
          </w:p>
        </w:tc>
        <w:tc>
          <w:tcPr>
            <w:tcW w:w="2148" w:type="dxa"/>
            <w:shd w:val="clear" w:color="auto" w:fill="70AD47" w:themeFill="accent6"/>
            <w:vAlign w:val="center"/>
          </w:tcPr>
          <w:p w14:paraId="3D2EE746" w14:textId="358E6347"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ICP – 2ª Evaluación 20</w:t>
            </w:r>
            <w:r w:rsidR="00D47F3C" w:rsidRPr="007F03BF">
              <w:rPr>
                <w:rFonts w:ascii="Arial" w:hAnsi="Arial" w:cs="Arial"/>
                <w:b/>
                <w:bCs/>
                <w:color w:val="000000" w:themeColor="text1"/>
                <w:sz w:val="20"/>
                <w:szCs w:val="20"/>
              </w:rPr>
              <w:t>19</w:t>
            </w:r>
          </w:p>
        </w:tc>
        <w:tc>
          <w:tcPr>
            <w:tcW w:w="2092" w:type="dxa"/>
            <w:shd w:val="clear" w:color="auto" w:fill="70AD47" w:themeFill="accent6"/>
            <w:vAlign w:val="center"/>
          </w:tcPr>
          <w:p w14:paraId="4B6B4DF5" w14:textId="077CF822"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ICP – 1ª Evaluación 20</w:t>
            </w:r>
            <w:r w:rsidR="00D47F3C" w:rsidRPr="007F03BF">
              <w:rPr>
                <w:rFonts w:ascii="Arial" w:hAnsi="Arial" w:cs="Arial"/>
                <w:b/>
                <w:bCs/>
                <w:color w:val="000000" w:themeColor="text1"/>
                <w:sz w:val="20"/>
                <w:szCs w:val="20"/>
              </w:rPr>
              <w:t>20</w:t>
            </w:r>
          </w:p>
        </w:tc>
        <w:tc>
          <w:tcPr>
            <w:tcW w:w="920" w:type="dxa"/>
            <w:gridSpan w:val="2"/>
            <w:shd w:val="clear" w:color="auto" w:fill="70AD47" w:themeFill="accent6"/>
            <w:vAlign w:val="center"/>
          </w:tcPr>
          <w:p w14:paraId="6E9A8E90" w14:textId="77777777"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7D2FB3" w:rsidRPr="007F03BF" w14:paraId="16DE1F71" w14:textId="77777777" w:rsidTr="007D2FB3">
        <w:tc>
          <w:tcPr>
            <w:tcW w:w="3659" w:type="dxa"/>
          </w:tcPr>
          <w:p w14:paraId="786B4EA7" w14:textId="77777777" w:rsidR="007D2FB3" w:rsidRPr="007F03BF" w:rsidRDefault="007D2FB3" w:rsidP="007D2FB3">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121 – Obligaciones Comunes</w:t>
            </w:r>
          </w:p>
        </w:tc>
        <w:tc>
          <w:tcPr>
            <w:tcW w:w="2148" w:type="dxa"/>
            <w:vAlign w:val="center"/>
          </w:tcPr>
          <w:p w14:paraId="47B54977"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65.52</w:t>
            </w:r>
          </w:p>
        </w:tc>
        <w:tc>
          <w:tcPr>
            <w:tcW w:w="2104" w:type="dxa"/>
            <w:gridSpan w:val="2"/>
            <w:vAlign w:val="center"/>
          </w:tcPr>
          <w:p w14:paraId="10D02A2F"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73.22</w:t>
            </w:r>
          </w:p>
        </w:tc>
        <w:tc>
          <w:tcPr>
            <w:tcW w:w="908" w:type="dxa"/>
            <w:vAlign w:val="center"/>
          </w:tcPr>
          <w:p w14:paraId="1CEEF949"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7.70</w:t>
            </w:r>
          </w:p>
        </w:tc>
      </w:tr>
      <w:tr w:rsidR="007D2FB3" w:rsidRPr="007F03BF" w14:paraId="320696DA" w14:textId="77777777" w:rsidTr="007D2FB3">
        <w:tc>
          <w:tcPr>
            <w:tcW w:w="3659" w:type="dxa"/>
          </w:tcPr>
          <w:p w14:paraId="6268F52F" w14:textId="77777777" w:rsidR="007D2FB3" w:rsidRPr="007F03BF" w:rsidRDefault="007D2FB3" w:rsidP="007D2FB3">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123 – Obligaciones Específicas del Poder Ejecutivo</w:t>
            </w:r>
          </w:p>
        </w:tc>
        <w:tc>
          <w:tcPr>
            <w:tcW w:w="2148" w:type="dxa"/>
            <w:vAlign w:val="center"/>
          </w:tcPr>
          <w:p w14:paraId="6F9302AF"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68.31</w:t>
            </w:r>
          </w:p>
        </w:tc>
        <w:tc>
          <w:tcPr>
            <w:tcW w:w="2104" w:type="dxa"/>
            <w:gridSpan w:val="2"/>
            <w:vAlign w:val="center"/>
          </w:tcPr>
          <w:p w14:paraId="75DAE204"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77.62</w:t>
            </w:r>
          </w:p>
        </w:tc>
        <w:tc>
          <w:tcPr>
            <w:tcW w:w="908" w:type="dxa"/>
            <w:vAlign w:val="center"/>
          </w:tcPr>
          <w:p w14:paraId="691DA9C3"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9.31</w:t>
            </w:r>
          </w:p>
        </w:tc>
      </w:tr>
      <w:tr w:rsidR="007D2FB3" w:rsidRPr="007F03BF" w14:paraId="19AD422C" w14:textId="77777777" w:rsidTr="007D2FB3">
        <w:tc>
          <w:tcPr>
            <w:tcW w:w="3659" w:type="dxa"/>
          </w:tcPr>
          <w:p w14:paraId="41D5EA15" w14:textId="77777777" w:rsidR="007D2FB3" w:rsidRPr="007F03BF" w:rsidRDefault="007D2FB3" w:rsidP="007D2FB3">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 xml:space="preserve">143 – Obra Pública </w:t>
            </w:r>
          </w:p>
        </w:tc>
        <w:tc>
          <w:tcPr>
            <w:tcW w:w="2148" w:type="dxa"/>
            <w:vAlign w:val="center"/>
          </w:tcPr>
          <w:p w14:paraId="46820D02"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78.44</w:t>
            </w:r>
          </w:p>
        </w:tc>
        <w:tc>
          <w:tcPr>
            <w:tcW w:w="2104" w:type="dxa"/>
            <w:gridSpan w:val="2"/>
            <w:vAlign w:val="center"/>
          </w:tcPr>
          <w:p w14:paraId="0639D65A"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98.21</w:t>
            </w:r>
          </w:p>
        </w:tc>
        <w:tc>
          <w:tcPr>
            <w:tcW w:w="908" w:type="dxa"/>
            <w:vAlign w:val="center"/>
          </w:tcPr>
          <w:p w14:paraId="73E0FF40"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19.77</w:t>
            </w:r>
          </w:p>
        </w:tc>
      </w:tr>
      <w:tr w:rsidR="007D2FB3" w:rsidRPr="007F03BF" w14:paraId="36E6DC7F" w14:textId="77777777" w:rsidTr="007D2FB3">
        <w:tc>
          <w:tcPr>
            <w:tcW w:w="3659" w:type="dxa"/>
          </w:tcPr>
          <w:p w14:paraId="26D058A5" w14:textId="77777777" w:rsidR="007D2FB3" w:rsidRPr="007F03BF" w:rsidRDefault="007D2FB3" w:rsidP="007D2FB3">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145 – Portal de Transparencia</w:t>
            </w:r>
          </w:p>
        </w:tc>
        <w:tc>
          <w:tcPr>
            <w:tcW w:w="2148" w:type="dxa"/>
            <w:vAlign w:val="center"/>
          </w:tcPr>
          <w:p w14:paraId="21E5706F"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98.44</w:t>
            </w:r>
          </w:p>
        </w:tc>
        <w:tc>
          <w:tcPr>
            <w:tcW w:w="2104" w:type="dxa"/>
            <w:gridSpan w:val="2"/>
            <w:vAlign w:val="center"/>
          </w:tcPr>
          <w:p w14:paraId="7A171887"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75.36</w:t>
            </w:r>
          </w:p>
        </w:tc>
        <w:tc>
          <w:tcPr>
            <w:tcW w:w="908" w:type="dxa"/>
            <w:vAlign w:val="center"/>
          </w:tcPr>
          <w:p w14:paraId="6314FAD0"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-23.08</w:t>
            </w:r>
          </w:p>
        </w:tc>
      </w:tr>
      <w:tr w:rsidR="007D2FB3" w:rsidRPr="007F03BF" w14:paraId="016CC914" w14:textId="77777777" w:rsidTr="007D2FB3">
        <w:tc>
          <w:tcPr>
            <w:tcW w:w="3659" w:type="dxa"/>
          </w:tcPr>
          <w:p w14:paraId="51A5D34B" w14:textId="77777777" w:rsidR="007D2FB3" w:rsidRPr="007F03BF" w:rsidRDefault="007D2FB3" w:rsidP="007D2FB3">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146 – Calendario de actualización</w:t>
            </w:r>
          </w:p>
        </w:tc>
        <w:tc>
          <w:tcPr>
            <w:tcW w:w="2148" w:type="dxa"/>
            <w:vAlign w:val="center"/>
          </w:tcPr>
          <w:p w14:paraId="61A7D84F"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68.48</w:t>
            </w:r>
          </w:p>
        </w:tc>
        <w:tc>
          <w:tcPr>
            <w:tcW w:w="2104" w:type="dxa"/>
            <w:gridSpan w:val="2"/>
            <w:vAlign w:val="center"/>
          </w:tcPr>
          <w:p w14:paraId="7F223665"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63.42</w:t>
            </w:r>
          </w:p>
        </w:tc>
        <w:tc>
          <w:tcPr>
            <w:tcW w:w="908" w:type="dxa"/>
            <w:vAlign w:val="center"/>
          </w:tcPr>
          <w:p w14:paraId="5E8DCFE1"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-5.06</w:t>
            </w:r>
          </w:p>
        </w:tc>
      </w:tr>
      <w:tr w:rsidR="007D2FB3" w:rsidRPr="007F03BF" w14:paraId="200F99AE" w14:textId="77777777" w:rsidTr="007D2FB3">
        <w:tc>
          <w:tcPr>
            <w:tcW w:w="3659" w:type="dxa"/>
          </w:tcPr>
          <w:p w14:paraId="456AABAE" w14:textId="77777777" w:rsidR="007D2FB3" w:rsidRPr="007F03BF" w:rsidRDefault="007D2FB3" w:rsidP="007D2FB3">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 xml:space="preserve">147 – Informes respecto de recursos otorgados por el sujeto obligado a terceros </w:t>
            </w:r>
          </w:p>
        </w:tc>
        <w:tc>
          <w:tcPr>
            <w:tcW w:w="2148" w:type="dxa"/>
            <w:vAlign w:val="center"/>
          </w:tcPr>
          <w:p w14:paraId="2848FA85"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82.5</w:t>
            </w:r>
          </w:p>
        </w:tc>
        <w:tc>
          <w:tcPr>
            <w:tcW w:w="2104" w:type="dxa"/>
            <w:gridSpan w:val="2"/>
            <w:vAlign w:val="center"/>
          </w:tcPr>
          <w:p w14:paraId="12BF8A20"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71.43</w:t>
            </w:r>
          </w:p>
        </w:tc>
        <w:tc>
          <w:tcPr>
            <w:tcW w:w="908" w:type="dxa"/>
            <w:vAlign w:val="center"/>
          </w:tcPr>
          <w:p w14:paraId="59229DE1" w14:textId="77777777" w:rsidR="007D2FB3" w:rsidRPr="007F03BF" w:rsidRDefault="007D2FB3" w:rsidP="007D2FB3">
            <w:pPr>
              <w:jc w:val="center"/>
              <w:rPr>
                <w:rFonts w:ascii="Arial" w:hAnsi="Arial" w:cs="Arial"/>
                <w:color w:val="000000"/>
                <w:sz w:val="20"/>
                <w:szCs w:val="20"/>
              </w:rPr>
            </w:pPr>
            <w:r w:rsidRPr="007F03BF">
              <w:rPr>
                <w:rFonts w:ascii="Arial" w:hAnsi="Arial" w:cs="Arial"/>
                <w:color w:val="000000"/>
                <w:sz w:val="20"/>
                <w:szCs w:val="20"/>
              </w:rPr>
              <w:t>-11.07</w:t>
            </w:r>
          </w:p>
        </w:tc>
      </w:tr>
    </w:tbl>
    <w:p w14:paraId="118772FE" w14:textId="77777777" w:rsidR="00D23BCA" w:rsidRPr="007F03BF" w:rsidRDefault="00D23BCA" w:rsidP="00D23BCA">
      <w:pPr>
        <w:spacing w:before="100" w:beforeAutospacing="1" w:after="100" w:afterAutospacing="1" w:line="360" w:lineRule="auto"/>
        <w:contextualSpacing/>
        <w:jc w:val="both"/>
        <w:rPr>
          <w:rFonts w:ascii="Arial" w:hAnsi="Arial" w:cs="Arial"/>
        </w:rPr>
      </w:pPr>
    </w:p>
    <w:p w14:paraId="14533864" w14:textId="77777777" w:rsidR="00D23BCA" w:rsidRPr="007F03BF" w:rsidRDefault="00D23BCA" w:rsidP="00D23BCA">
      <w:pPr>
        <w:spacing w:before="100" w:beforeAutospacing="1" w:after="100" w:afterAutospacing="1" w:line="360" w:lineRule="auto"/>
        <w:contextualSpacing/>
        <w:jc w:val="both"/>
        <w:rPr>
          <w:rFonts w:ascii="Arial" w:hAnsi="Arial" w:cs="Arial"/>
        </w:rPr>
      </w:pPr>
      <w:r w:rsidRPr="007F03BF">
        <w:rPr>
          <w:rFonts w:ascii="Arial" w:hAnsi="Arial" w:cs="Arial"/>
        </w:rPr>
        <w:t xml:space="preserve">Del comparativo anteriormente plasmado, se puede apreciar que este ámbito tuvo un incremento en </w:t>
      </w:r>
      <w:r w:rsidR="00192565" w:rsidRPr="007F03BF">
        <w:rPr>
          <w:rFonts w:ascii="Arial" w:hAnsi="Arial" w:cs="Arial"/>
        </w:rPr>
        <w:t>tres de sus</w:t>
      </w:r>
      <w:r w:rsidRPr="007F03BF">
        <w:rPr>
          <w:rFonts w:ascii="Arial" w:hAnsi="Arial" w:cs="Arial"/>
        </w:rPr>
        <w:t xml:space="preserve"> índices por artículo</w:t>
      </w:r>
      <w:r w:rsidR="00192565" w:rsidRPr="007F03BF">
        <w:rPr>
          <w:rFonts w:ascii="Arial" w:hAnsi="Arial" w:cs="Arial"/>
        </w:rPr>
        <w:t xml:space="preserve"> y un decremento en tres de sus índices</w:t>
      </w:r>
      <w:r w:rsidRPr="007F03BF">
        <w:rPr>
          <w:rFonts w:ascii="Arial" w:hAnsi="Arial" w:cs="Arial"/>
        </w:rPr>
        <w:t xml:space="preserve">; de igual forma, el ICP de todos los artículos tuvo un cumplimiento parcial. </w:t>
      </w:r>
    </w:p>
    <w:p w14:paraId="57A71E0E" w14:textId="77777777" w:rsidR="00D23BCA" w:rsidRPr="007F03BF" w:rsidRDefault="00D23BCA" w:rsidP="00D23BCA">
      <w:pPr>
        <w:spacing w:before="100" w:beforeAutospacing="1" w:after="100" w:afterAutospacing="1" w:line="360" w:lineRule="auto"/>
        <w:contextualSpacing/>
        <w:jc w:val="both"/>
        <w:rPr>
          <w:rFonts w:ascii="Arial" w:hAnsi="Arial" w:cs="Arial"/>
        </w:rPr>
      </w:pPr>
    </w:p>
    <w:p w14:paraId="4138F519" w14:textId="77777777" w:rsidR="00D23BCA" w:rsidRPr="007F03BF" w:rsidRDefault="00D23BCA" w:rsidP="00D23BCA">
      <w:pPr>
        <w:spacing w:before="100" w:beforeAutospacing="1" w:after="100" w:afterAutospacing="1" w:line="360" w:lineRule="auto"/>
        <w:contextualSpacing/>
        <w:jc w:val="both"/>
        <w:rPr>
          <w:rFonts w:ascii="Arial" w:hAnsi="Arial" w:cs="Arial"/>
        </w:rPr>
      </w:pPr>
      <w:r w:rsidRPr="007F03BF">
        <w:rPr>
          <w:rFonts w:ascii="Arial" w:hAnsi="Arial" w:cs="Arial"/>
        </w:rPr>
        <w:t>En lo que respecta a las obligaciones comunes, pasó de tener un ICP entre 6</w:t>
      </w:r>
      <w:r w:rsidR="00192565" w:rsidRPr="007F03BF">
        <w:rPr>
          <w:rFonts w:ascii="Arial" w:hAnsi="Arial" w:cs="Arial"/>
        </w:rPr>
        <w:t>5.52</w:t>
      </w:r>
      <w:r w:rsidRPr="007F03BF">
        <w:rPr>
          <w:rFonts w:ascii="Arial" w:hAnsi="Arial" w:cs="Arial"/>
        </w:rPr>
        <w:t xml:space="preserve">% a un IGOT </w:t>
      </w:r>
      <w:r w:rsidR="00DC25B3" w:rsidRPr="007F03BF">
        <w:rPr>
          <w:rFonts w:ascii="Arial" w:hAnsi="Arial" w:cs="Arial"/>
        </w:rPr>
        <w:t xml:space="preserve">superior </w:t>
      </w:r>
      <w:r w:rsidR="00192565" w:rsidRPr="007F03BF">
        <w:rPr>
          <w:rFonts w:ascii="Arial" w:hAnsi="Arial" w:cs="Arial"/>
        </w:rPr>
        <w:t>de 73.22</w:t>
      </w:r>
      <w:r w:rsidRPr="007F03BF">
        <w:rPr>
          <w:rFonts w:ascii="Arial" w:hAnsi="Arial" w:cs="Arial"/>
        </w:rPr>
        <w:t xml:space="preserve">%; por lo que tuvo un incremento de </w:t>
      </w:r>
      <w:r w:rsidR="00192565" w:rsidRPr="007F03BF">
        <w:rPr>
          <w:rFonts w:ascii="Arial" w:hAnsi="Arial" w:cs="Arial"/>
        </w:rPr>
        <w:t>7.70</w:t>
      </w:r>
      <w:r w:rsidRPr="007F03BF">
        <w:rPr>
          <w:rFonts w:ascii="Arial" w:hAnsi="Arial" w:cs="Arial"/>
        </w:rPr>
        <w:t xml:space="preserve"> puntos. Sobre las obligaciones específicas, l</w:t>
      </w:r>
      <w:r w:rsidR="00DC25B3" w:rsidRPr="007F03BF">
        <w:rPr>
          <w:rFonts w:ascii="Arial" w:hAnsi="Arial" w:cs="Arial"/>
        </w:rPr>
        <w:t xml:space="preserve">os Órganos Desconcentrados </w:t>
      </w:r>
      <w:r w:rsidRPr="007F03BF">
        <w:rPr>
          <w:rFonts w:ascii="Arial" w:hAnsi="Arial" w:cs="Arial"/>
        </w:rPr>
        <w:t>tuvieron un incremento</w:t>
      </w:r>
      <w:r w:rsidR="00DC25B3" w:rsidRPr="007F03BF">
        <w:rPr>
          <w:rFonts w:ascii="Arial" w:hAnsi="Arial" w:cs="Arial"/>
        </w:rPr>
        <w:t xml:space="preserve"> </w:t>
      </w:r>
      <w:r w:rsidR="00192565" w:rsidRPr="007F03BF">
        <w:rPr>
          <w:rFonts w:ascii="Arial" w:hAnsi="Arial" w:cs="Arial"/>
        </w:rPr>
        <w:t xml:space="preserve">de 9.31 </w:t>
      </w:r>
      <w:r w:rsidRPr="007F03BF">
        <w:rPr>
          <w:rFonts w:ascii="Arial" w:hAnsi="Arial" w:cs="Arial"/>
        </w:rPr>
        <w:t>puntos</w:t>
      </w:r>
      <w:r w:rsidR="00DC25B3" w:rsidRPr="007F03BF">
        <w:rPr>
          <w:rFonts w:ascii="Arial" w:hAnsi="Arial" w:cs="Arial"/>
        </w:rPr>
        <w:t xml:space="preserve">. </w:t>
      </w:r>
      <w:r w:rsidRPr="007F03BF">
        <w:rPr>
          <w:rFonts w:ascii="Arial" w:hAnsi="Arial" w:cs="Arial"/>
        </w:rPr>
        <w:t xml:space="preserve">Por último, las disposiciones particulares tuvieron un incremento promedio de </w:t>
      </w:r>
      <w:r w:rsidR="00192565" w:rsidRPr="007F03BF">
        <w:rPr>
          <w:rFonts w:ascii="Arial" w:hAnsi="Arial" w:cs="Arial"/>
        </w:rPr>
        <w:t xml:space="preserve">-4.86 </w:t>
      </w:r>
      <w:r w:rsidR="00DC25B3" w:rsidRPr="007F03BF">
        <w:rPr>
          <w:rFonts w:ascii="Arial" w:hAnsi="Arial" w:cs="Arial"/>
        </w:rPr>
        <w:t>puntos</w:t>
      </w:r>
      <w:r w:rsidRPr="007F03BF">
        <w:rPr>
          <w:rFonts w:ascii="Arial" w:hAnsi="Arial" w:cs="Arial"/>
        </w:rPr>
        <w:t xml:space="preserve">, encontrándose su ICP entre </w:t>
      </w:r>
      <w:r w:rsidR="00192565" w:rsidRPr="007F03BF">
        <w:rPr>
          <w:rFonts w:ascii="Arial" w:hAnsi="Arial" w:cs="Arial"/>
        </w:rPr>
        <w:t>63</w:t>
      </w:r>
      <w:r w:rsidRPr="007F03BF">
        <w:rPr>
          <w:rFonts w:ascii="Arial" w:hAnsi="Arial" w:cs="Arial"/>
        </w:rPr>
        <w:t xml:space="preserve">% y 99%. Es pertinente resaltar que la disposición particular consistente en publicar </w:t>
      </w:r>
      <w:r w:rsidR="00192565" w:rsidRPr="007F03BF">
        <w:rPr>
          <w:rFonts w:ascii="Arial" w:hAnsi="Arial" w:cs="Arial"/>
        </w:rPr>
        <w:t xml:space="preserve">todos los documentos relacionados con las obras públicas incrementó 19.77 puntos, pasando de un ICP de 78.44% a uno de 98.21%. </w:t>
      </w:r>
    </w:p>
    <w:p w14:paraId="411F9D25" w14:textId="77777777" w:rsidR="00192565" w:rsidRPr="007F03BF" w:rsidRDefault="00192565" w:rsidP="00D23BCA">
      <w:pPr>
        <w:spacing w:before="100" w:beforeAutospacing="1" w:after="100" w:afterAutospacing="1" w:line="360" w:lineRule="auto"/>
        <w:contextualSpacing/>
        <w:jc w:val="both"/>
        <w:rPr>
          <w:rFonts w:ascii="Arial" w:hAnsi="Arial" w:cs="Arial"/>
        </w:rPr>
      </w:pPr>
    </w:p>
    <w:p w14:paraId="74DC5ED8" w14:textId="77777777" w:rsidR="00192565" w:rsidRPr="007F03BF" w:rsidRDefault="00192565" w:rsidP="00D23BCA">
      <w:pPr>
        <w:spacing w:before="100" w:beforeAutospacing="1" w:after="100" w:afterAutospacing="1" w:line="360" w:lineRule="auto"/>
        <w:contextualSpacing/>
        <w:jc w:val="both"/>
        <w:rPr>
          <w:rFonts w:ascii="Arial" w:hAnsi="Arial" w:cs="Arial"/>
        </w:rPr>
      </w:pPr>
      <w:r w:rsidRPr="007F03BF">
        <w:rPr>
          <w:rFonts w:ascii="Arial" w:hAnsi="Arial" w:cs="Arial"/>
        </w:rPr>
        <w:lastRenderedPageBreak/>
        <w:t>Por otro lado, la disposición particular consistente en tener un portal de transparencia bajó 23 puntos, debido a que el Fondo de Atención al Ciclista y al Peatón y el Régimen de Protección Social en Salud de la Ciudad de México, aún y cuando sí cuenta con sus portales institucionales, sus obligaciones de transparencia no tienen ningún hipervínculo adjunto que permita descargar la información.</w:t>
      </w:r>
    </w:p>
    <w:p w14:paraId="452F6C78" w14:textId="77777777" w:rsidR="00D23BCA" w:rsidRPr="007F03BF" w:rsidRDefault="00D23BCA" w:rsidP="00D23BCA">
      <w:pPr>
        <w:spacing w:before="100" w:beforeAutospacing="1" w:after="100" w:afterAutospacing="1" w:line="360" w:lineRule="auto"/>
        <w:contextualSpacing/>
        <w:jc w:val="both"/>
        <w:rPr>
          <w:rFonts w:ascii="Arial" w:hAnsi="Arial" w:cs="Arial"/>
        </w:rPr>
      </w:pPr>
    </w:p>
    <w:p w14:paraId="476115EE" w14:textId="77777777" w:rsidR="00D23BCA" w:rsidRPr="007F03BF" w:rsidRDefault="00D23BCA" w:rsidP="00D23BCA">
      <w:pPr>
        <w:spacing w:before="100" w:beforeAutospacing="1" w:after="100" w:afterAutospacing="1" w:line="360" w:lineRule="auto"/>
        <w:contextualSpacing/>
        <w:jc w:val="both"/>
        <w:rPr>
          <w:rFonts w:ascii="Arial" w:hAnsi="Arial" w:cs="Arial"/>
        </w:rPr>
      </w:pPr>
      <w:r w:rsidRPr="007F03BF">
        <w:rPr>
          <w:rFonts w:ascii="Arial" w:hAnsi="Arial" w:cs="Arial"/>
        </w:rPr>
        <w:t xml:space="preserve">El Poder Ejecutivo – </w:t>
      </w:r>
      <w:r w:rsidR="00DC25B3" w:rsidRPr="007F03BF">
        <w:rPr>
          <w:rFonts w:ascii="Arial" w:hAnsi="Arial" w:cs="Arial"/>
        </w:rPr>
        <w:t xml:space="preserve">Órganos Desconcentrados, Fondos y Fideicomisos </w:t>
      </w:r>
      <w:r w:rsidRPr="007F03BF">
        <w:rPr>
          <w:rFonts w:ascii="Arial" w:hAnsi="Arial" w:cs="Arial"/>
        </w:rPr>
        <w:t xml:space="preserve">obtuvo un incremento promedio en su índice por artículo de </w:t>
      </w:r>
      <w:r w:rsidR="00192565" w:rsidRPr="007F03BF">
        <w:rPr>
          <w:rFonts w:ascii="Arial" w:hAnsi="Arial" w:cs="Arial"/>
        </w:rPr>
        <w:t>-0.41</w:t>
      </w:r>
      <w:r w:rsidRPr="007F03BF">
        <w:rPr>
          <w:rFonts w:ascii="Arial" w:hAnsi="Arial" w:cs="Arial"/>
        </w:rPr>
        <w:t>%.</w:t>
      </w:r>
    </w:p>
    <w:p w14:paraId="7293193C" w14:textId="77777777" w:rsidR="00192565" w:rsidRPr="007F03BF" w:rsidRDefault="00192565" w:rsidP="00192565">
      <w:pPr>
        <w:spacing w:before="100" w:beforeAutospacing="1" w:after="100" w:afterAutospacing="1" w:line="360" w:lineRule="auto"/>
        <w:contextualSpacing/>
        <w:jc w:val="both"/>
        <w:rPr>
          <w:rFonts w:ascii="Arial" w:hAnsi="Arial" w:cs="Arial"/>
          <w:b/>
          <w:bCs/>
          <w:color w:val="000000" w:themeColor="text1"/>
        </w:rPr>
      </w:pPr>
    </w:p>
    <w:p w14:paraId="103C0178" w14:textId="77777777" w:rsidR="00192565" w:rsidRPr="007F03BF" w:rsidRDefault="00192565" w:rsidP="00192565">
      <w:pPr>
        <w:spacing w:before="100" w:beforeAutospacing="1" w:after="100" w:afterAutospacing="1" w:line="360" w:lineRule="auto"/>
        <w:contextualSpacing/>
        <w:jc w:val="both"/>
        <w:rPr>
          <w:rFonts w:ascii="Arial" w:hAnsi="Arial" w:cs="Arial"/>
          <w:b/>
          <w:bCs/>
          <w:color w:val="000000" w:themeColor="text1"/>
        </w:rPr>
      </w:pPr>
      <w:r w:rsidRPr="007F03BF">
        <w:rPr>
          <w:rFonts w:ascii="Arial" w:hAnsi="Arial" w:cs="Arial"/>
          <w:b/>
          <w:bCs/>
          <w:color w:val="000000" w:themeColor="text1"/>
        </w:rPr>
        <w:t>Comparativo de índices entre la Segunda Evaluación Vinculante 2019 y la Primera Evaluación Vinculante 2020</w:t>
      </w:r>
    </w:p>
    <w:tbl>
      <w:tblPr>
        <w:tblW w:w="9067" w:type="dxa"/>
        <w:tblLayout w:type="fixed"/>
        <w:tblCellMar>
          <w:left w:w="70" w:type="dxa"/>
          <w:right w:w="70" w:type="dxa"/>
        </w:tblCellMar>
        <w:tblLook w:val="04A0" w:firstRow="1" w:lastRow="0" w:firstColumn="1" w:lastColumn="0" w:noHBand="0" w:noVBand="1"/>
      </w:tblPr>
      <w:tblGrid>
        <w:gridCol w:w="463"/>
        <w:gridCol w:w="4352"/>
        <w:gridCol w:w="1559"/>
        <w:gridCol w:w="1703"/>
        <w:gridCol w:w="990"/>
      </w:tblGrid>
      <w:tr w:rsidR="00192565" w:rsidRPr="007F03BF" w14:paraId="4FAC8D54" w14:textId="77777777" w:rsidTr="008C4FD7">
        <w:trPr>
          <w:trHeight w:val="86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69111702" w14:textId="77777777" w:rsidR="00192565" w:rsidRPr="007F03BF" w:rsidRDefault="00192565" w:rsidP="002F0385">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Resultados de la Primera Evaluación Vinculante 2020, respecto de las recomendaciones y observaciones de la Segunda Evaluación Vinculante 2019</w:t>
            </w:r>
          </w:p>
        </w:tc>
      </w:tr>
      <w:tr w:rsidR="00192565" w:rsidRPr="007F03BF" w14:paraId="750057A7" w14:textId="77777777" w:rsidTr="008C4FD7">
        <w:trPr>
          <w:trHeight w:val="340"/>
          <w:tblHeader/>
        </w:trPr>
        <w:tc>
          <w:tcPr>
            <w:tcW w:w="463" w:type="dxa"/>
            <w:tcBorders>
              <w:top w:val="nil"/>
              <w:left w:val="single" w:sz="4" w:space="0" w:color="auto"/>
              <w:bottom w:val="single" w:sz="4" w:space="0" w:color="auto"/>
              <w:right w:val="single" w:sz="4" w:space="0" w:color="auto"/>
            </w:tcBorders>
            <w:shd w:val="clear" w:color="auto" w:fill="70AD47" w:themeFill="accent6"/>
            <w:vAlign w:val="center"/>
            <w:hideMark/>
          </w:tcPr>
          <w:p w14:paraId="29B6B50C" w14:textId="77777777" w:rsidR="00192565" w:rsidRPr="007F03BF" w:rsidRDefault="00192565" w:rsidP="002F0385">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No.</w:t>
            </w:r>
          </w:p>
        </w:tc>
        <w:tc>
          <w:tcPr>
            <w:tcW w:w="4352" w:type="dxa"/>
            <w:tcBorders>
              <w:top w:val="nil"/>
              <w:left w:val="nil"/>
              <w:bottom w:val="single" w:sz="4" w:space="0" w:color="auto"/>
              <w:right w:val="single" w:sz="4" w:space="0" w:color="auto"/>
            </w:tcBorders>
            <w:shd w:val="clear" w:color="auto" w:fill="70AD47" w:themeFill="accent6"/>
            <w:vAlign w:val="center"/>
            <w:hideMark/>
          </w:tcPr>
          <w:p w14:paraId="614C458E" w14:textId="77777777" w:rsidR="00192565" w:rsidRPr="007F03BF" w:rsidRDefault="00192565" w:rsidP="002F0385">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Sujeto obligado</w:t>
            </w:r>
          </w:p>
        </w:tc>
        <w:tc>
          <w:tcPr>
            <w:tcW w:w="1559" w:type="dxa"/>
            <w:tcBorders>
              <w:top w:val="nil"/>
              <w:left w:val="nil"/>
              <w:bottom w:val="single" w:sz="4" w:space="0" w:color="auto"/>
              <w:right w:val="single" w:sz="4" w:space="0" w:color="auto"/>
            </w:tcBorders>
            <w:shd w:val="clear" w:color="auto" w:fill="70AD47" w:themeFill="accent6"/>
            <w:vAlign w:val="center"/>
            <w:hideMark/>
          </w:tcPr>
          <w:p w14:paraId="46153B44" w14:textId="77777777" w:rsidR="00192565" w:rsidRPr="007F03BF" w:rsidRDefault="00192565" w:rsidP="002F0385">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2a Evaluación Vinculante 2019</w:t>
            </w:r>
          </w:p>
        </w:tc>
        <w:tc>
          <w:tcPr>
            <w:tcW w:w="1703" w:type="dxa"/>
            <w:tcBorders>
              <w:top w:val="nil"/>
              <w:left w:val="nil"/>
              <w:bottom w:val="single" w:sz="4" w:space="0" w:color="auto"/>
              <w:right w:val="single" w:sz="4" w:space="0" w:color="auto"/>
            </w:tcBorders>
            <w:shd w:val="clear" w:color="auto" w:fill="70AD47" w:themeFill="accent6"/>
            <w:vAlign w:val="center"/>
            <w:hideMark/>
          </w:tcPr>
          <w:p w14:paraId="378F8203" w14:textId="77777777" w:rsidR="00192565" w:rsidRPr="007F03BF" w:rsidRDefault="00192565" w:rsidP="002F0385">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1a Evaluación Vinculante 2020</w:t>
            </w:r>
          </w:p>
        </w:tc>
        <w:tc>
          <w:tcPr>
            <w:tcW w:w="990" w:type="dxa"/>
            <w:tcBorders>
              <w:top w:val="nil"/>
              <w:left w:val="nil"/>
              <w:bottom w:val="single" w:sz="4" w:space="0" w:color="auto"/>
              <w:right w:val="single" w:sz="4" w:space="0" w:color="auto"/>
            </w:tcBorders>
            <w:shd w:val="clear" w:color="auto" w:fill="70AD47" w:themeFill="accent6"/>
            <w:vAlign w:val="center"/>
            <w:hideMark/>
          </w:tcPr>
          <w:p w14:paraId="177B6C8F" w14:textId="77777777" w:rsidR="00192565" w:rsidRPr="007F03BF" w:rsidRDefault="00192565" w:rsidP="002F0385">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1E0DF8" w:rsidRPr="007F03BF" w14:paraId="4BC8C35E" w14:textId="77777777" w:rsidTr="001E0DF8">
        <w:trPr>
          <w:trHeight w:val="680"/>
        </w:trPr>
        <w:tc>
          <w:tcPr>
            <w:tcW w:w="463" w:type="dxa"/>
            <w:tcBorders>
              <w:top w:val="nil"/>
              <w:left w:val="single" w:sz="4" w:space="0" w:color="auto"/>
              <w:bottom w:val="single" w:sz="4" w:space="0" w:color="auto"/>
              <w:right w:val="single" w:sz="4" w:space="0" w:color="auto"/>
            </w:tcBorders>
            <w:shd w:val="clear" w:color="auto" w:fill="auto"/>
            <w:vAlign w:val="bottom"/>
            <w:hideMark/>
          </w:tcPr>
          <w:p w14:paraId="292F9A3B" w14:textId="77777777" w:rsidR="001E0DF8" w:rsidRPr="007F03BF" w:rsidRDefault="001E0DF8" w:rsidP="001E0DF8">
            <w:pPr>
              <w:jc w:val="right"/>
              <w:rPr>
                <w:rFonts w:ascii="Arial" w:hAnsi="Arial" w:cs="Arial"/>
                <w:color w:val="000000"/>
                <w:sz w:val="20"/>
                <w:szCs w:val="20"/>
              </w:rPr>
            </w:pPr>
            <w:r w:rsidRPr="007F03BF">
              <w:rPr>
                <w:rFonts w:ascii="Arial" w:hAnsi="Arial" w:cs="Arial"/>
                <w:color w:val="000000"/>
                <w:sz w:val="20"/>
                <w:szCs w:val="20"/>
              </w:rPr>
              <w:t>1</w:t>
            </w:r>
          </w:p>
        </w:tc>
        <w:tc>
          <w:tcPr>
            <w:tcW w:w="4352" w:type="dxa"/>
            <w:tcBorders>
              <w:top w:val="nil"/>
              <w:left w:val="nil"/>
              <w:bottom w:val="single" w:sz="4" w:space="0" w:color="auto"/>
              <w:right w:val="single" w:sz="4" w:space="0" w:color="auto"/>
            </w:tcBorders>
            <w:shd w:val="clear" w:color="auto" w:fill="auto"/>
            <w:vAlign w:val="center"/>
            <w:hideMark/>
          </w:tcPr>
          <w:p w14:paraId="223C86F4" w14:textId="77777777" w:rsidR="001E0DF8" w:rsidRPr="007F03BF" w:rsidRDefault="001E0DF8" w:rsidP="001E0DF8">
            <w:pPr>
              <w:rPr>
                <w:rFonts w:ascii="Arial" w:hAnsi="Arial" w:cs="Arial"/>
                <w:color w:val="000000"/>
                <w:sz w:val="20"/>
                <w:szCs w:val="20"/>
              </w:rPr>
            </w:pPr>
            <w:r w:rsidRPr="007F03BF">
              <w:rPr>
                <w:rFonts w:ascii="Arial" w:hAnsi="Arial" w:cs="Arial"/>
                <w:color w:val="000000"/>
                <w:sz w:val="20"/>
                <w:szCs w:val="20"/>
              </w:rPr>
              <w:t>Red de Transporte Público de Pasajeros de la Ciudad de México</w:t>
            </w:r>
            <w:r w:rsidR="009A6800" w:rsidRPr="007F03BF">
              <w:rPr>
                <w:rFonts w:ascii="Arial" w:hAnsi="Arial" w:cs="Arial"/>
                <w:color w:val="000000"/>
                <w:sz w:val="20"/>
                <w:szCs w:val="20"/>
              </w:rPr>
              <w:t>.</w:t>
            </w:r>
          </w:p>
        </w:tc>
        <w:tc>
          <w:tcPr>
            <w:tcW w:w="1559" w:type="dxa"/>
            <w:tcBorders>
              <w:top w:val="nil"/>
              <w:left w:val="nil"/>
              <w:bottom w:val="single" w:sz="4" w:space="0" w:color="auto"/>
              <w:right w:val="single" w:sz="4" w:space="0" w:color="auto"/>
            </w:tcBorders>
            <w:shd w:val="clear" w:color="auto" w:fill="auto"/>
            <w:vAlign w:val="center"/>
            <w:hideMark/>
          </w:tcPr>
          <w:p w14:paraId="0711F6FE"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84.81</w:t>
            </w:r>
          </w:p>
        </w:tc>
        <w:tc>
          <w:tcPr>
            <w:tcW w:w="1703" w:type="dxa"/>
            <w:tcBorders>
              <w:top w:val="nil"/>
              <w:left w:val="nil"/>
              <w:bottom w:val="single" w:sz="4" w:space="0" w:color="auto"/>
              <w:right w:val="single" w:sz="4" w:space="0" w:color="auto"/>
            </w:tcBorders>
            <w:shd w:val="clear" w:color="auto" w:fill="auto"/>
            <w:vAlign w:val="center"/>
            <w:hideMark/>
          </w:tcPr>
          <w:p w14:paraId="573D122A"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100.</w:t>
            </w:r>
          </w:p>
        </w:tc>
        <w:tc>
          <w:tcPr>
            <w:tcW w:w="990" w:type="dxa"/>
            <w:tcBorders>
              <w:top w:val="nil"/>
              <w:left w:val="nil"/>
              <w:bottom w:val="single" w:sz="4" w:space="0" w:color="auto"/>
              <w:right w:val="single" w:sz="4" w:space="0" w:color="auto"/>
            </w:tcBorders>
            <w:shd w:val="clear" w:color="auto" w:fill="auto"/>
            <w:vAlign w:val="center"/>
            <w:hideMark/>
          </w:tcPr>
          <w:p w14:paraId="5CEEAF52"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15.19</w:t>
            </w:r>
          </w:p>
        </w:tc>
      </w:tr>
      <w:tr w:rsidR="001E0DF8" w:rsidRPr="007F03BF" w14:paraId="1388986F" w14:textId="77777777" w:rsidTr="001E0DF8">
        <w:trPr>
          <w:trHeight w:val="680"/>
        </w:trPr>
        <w:tc>
          <w:tcPr>
            <w:tcW w:w="463" w:type="dxa"/>
            <w:tcBorders>
              <w:top w:val="nil"/>
              <w:left w:val="single" w:sz="4" w:space="0" w:color="auto"/>
              <w:bottom w:val="single" w:sz="4" w:space="0" w:color="auto"/>
              <w:right w:val="single" w:sz="4" w:space="0" w:color="auto"/>
            </w:tcBorders>
            <w:shd w:val="clear" w:color="auto" w:fill="auto"/>
            <w:vAlign w:val="bottom"/>
            <w:hideMark/>
          </w:tcPr>
          <w:p w14:paraId="6FFBBA2C" w14:textId="77777777" w:rsidR="001E0DF8" w:rsidRPr="007F03BF" w:rsidRDefault="001E0DF8" w:rsidP="001E0DF8">
            <w:pPr>
              <w:jc w:val="right"/>
              <w:rPr>
                <w:rFonts w:ascii="Arial" w:hAnsi="Arial" w:cs="Arial"/>
                <w:color w:val="000000"/>
                <w:sz w:val="20"/>
                <w:szCs w:val="20"/>
              </w:rPr>
            </w:pPr>
            <w:r w:rsidRPr="007F03BF">
              <w:rPr>
                <w:rFonts w:ascii="Arial" w:hAnsi="Arial" w:cs="Arial"/>
                <w:color w:val="000000"/>
                <w:sz w:val="20"/>
                <w:szCs w:val="20"/>
              </w:rPr>
              <w:t>2</w:t>
            </w:r>
          </w:p>
        </w:tc>
        <w:tc>
          <w:tcPr>
            <w:tcW w:w="4352" w:type="dxa"/>
            <w:tcBorders>
              <w:top w:val="nil"/>
              <w:left w:val="nil"/>
              <w:bottom w:val="single" w:sz="4" w:space="0" w:color="auto"/>
              <w:right w:val="single" w:sz="4" w:space="0" w:color="auto"/>
            </w:tcBorders>
            <w:shd w:val="clear" w:color="auto" w:fill="auto"/>
            <w:vAlign w:val="center"/>
            <w:hideMark/>
          </w:tcPr>
          <w:p w14:paraId="27221FB3" w14:textId="77777777" w:rsidR="001E0DF8" w:rsidRPr="007F03BF" w:rsidRDefault="001E0DF8" w:rsidP="001E0DF8">
            <w:pPr>
              <w:rPr>
                <w:rFonts w:ascii="Arial" w:hAnsi="Arial" w:cs="Arial"/>
                <w:color w:val="000000"/>
                <w:sz w:val="20"/>
                <w:szCs w:val="20"/>
              </w:rPr>
            </w:pPr>
            <w:r w:rsidRPr="007F03BF">
              <w:rPr>
                <w:rFonts w:ascii="Arial" w:hAnsi="Arial" w:cs="Arial"/>
                <w:color w:val="000000"/>
                <w:sz w:val="20"/>
                <w:szCs w:val="20"/>
              </w:rPr>
              <w:t>Órgano Regulador de Transporte.</w:t>
            </w:r>
          </w:p>
        </w:tc>
        <w:tc>
          <w:tcPr>
            <w:tcW w:w="1559" w:type="dxa"/>
            <w:tcBorders>
              <w:top w:val="nil"/>
              <w:left w:val="nil"/>
              <w:bottom w:val="single" w:sz="4" w:space="0" w:color="auto"/>
              <w:right w:val="single" w:sz="4" w:space="0" w:color="auto"/>
            </w:tcBorders>
            <w:shd w:val="clear" w:color="auto" w:fill="auto"/>
            <w:vAlign w:val="center"/>
            <w:hideMark/>
          </w:tcPr>
          <w:p w14:paraId="6326D74A"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87.74</w:t>
            </w:r>
          </w:p>
        </w:tc>
        <w:tc>
          <w:tcPr>
            <w:tcW w:w="1703" w:type="dxa"/>
            <w:tcBorders>
              <w:top w:val="nil"/>
              <w:left w:val="nil"/>
              <w:bottom w:val="single" w:sz="4" w:space="0" w:color="auto"/>
              <w:right w:val="single" w:sz="4" w:space="0" w:color="auto"/>
            </w:tcBorders>
            <w:shd w:val="clear" w:color="auto" w:fill="auto"/>
            <w:vAlign w:val="center"/>
            <w:hideMark/>
          </w:tcPr>
          <w:p w14:paraId="641E13BD"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99.47</w:t>
            </w:r>
          </w:p>
        </w:tc>
        <w:tc>
          <w:tcPr>
            <w:tcW w:w="990" w:type="dxa"/>
            <w:tcBorders>
              <w:top w:val="nil"/>
              <w:left w:val="nil"/>
              <w:bottom w:val="single" w:sz="4" w:space="0" w:color="auto"/>
              <w:right w:val="single" w:sz="4" w:space="0" w:color="auto"/>
            </w:tcBorders>
            <w:shd w:val="clear" w:color="auto" w:fill="auto"/>
            <w:vAlign w:val="center"/>
            <w:hideMark/>
          </w:tcPr>
          <w:p w14:paraId="70E81C0A"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11.73</w:t>
            </w:r>
          </w:p>
        </w:tc>
      </w:tr>
      <w:tr w:rsidR="001E0DF8" w:rsidRPr="007F03BF" w14:paraId="6E91E88B" w14:textId="77777777" w:rsidTr="001E0DF8">
        <w:trPr>
          <w:trHeight w:val="680"/>
        </w:trPr>
        <w:tc>
          <w:tcPr>
            <w:tcW w:w="463" w:type="dxa"/>
            <w:tcBorders>
              <w:top w:val="nil"/>
              <w:left w:val="single" w:sz="4" w:space="0" w:color="auto"/>
              <w:bottom w:val="single" w:sz="4" w:space="0" w:color="auto"/>
              <w:right w:val="single" w:sz="4" w:space="0" w:color="auto"/>
            </w:tcBorders>
            <w:shd w:val="clear" w:color="auto" w:fill="auto"/>
            <w:vAlign w:val="bottom"/>
            <w:hideMark/>
          </w:tcPr>
          <w:p w14:paraId="7A4C83E8" w14:textId="77777777" w:rsidR="001E0DF8" w:rsidRPr="007F03BF" w:rsidRDefault="001E0DF8" w:rsidP="001E0DF8">
            <w:pPr>
              <w:jc w:val="right"/>
              <w:rPr>
                <w:rFonts w:ascii="Arial" w:hAnsi="Arial" w:cs="Arial"/>
                <w:color w:val="000000"/>
                <w:sz w:val="20"/>
                <w:szCs w:val="20"/>
              </w:rPr>
            </w:pPr>
            <w:r w:rsidRPr="007F03BF">
              <w:rPr>
                <w:rFonts w:ascii="Arial" w:hAnsi="Arial" w:cs="Arial"/>
                <w:color w:val="000000"/>
                <w:sz w:val="20"/>
                <w:szCs w:val="20"/>
              </w:rPr>
              <w:t>3</w:t>
            </w:r>
          </w:p>
        </w:tc>
        <w:tc>
          <w:tcPr>
            <w:tcW w:w="4352" w:type="dxa"/>
            <w:tcBorders>
              <w:top w:val="nil"/>
              <w:left w:val="nil"/>
              <w:bottom w:val="single" w:sz="4" w:space="0" w:color="auto"/>
              <w:right w:val="single" w:sz="4" w:space="0" w:color="auto"/>
            </w:tcBorders>
            <w:shd w:val="clear" w:color="auto" w:fill="auto"/>
            <w:vAlign w:val="center"/>
            <w:hideMark/>
          </w:tcPr>
          <w:p w14:paraId="646D5437" w14:textId="77777777" w:rsidR="001E0DF8" w:rsidRPr="007F03BF" w:rsidRDefault="001E0DF8" w:rsidP="001E0DF8">
            <w:pPr>
              <w:rPr>
                <w:rFonts w:ascii="Arial" w:hAnsi="Arial" w:cs="Arial"/>
                <w:color w:val="000000"/>
                <w:sz w:val="20"/>
                <w:szCs w:val="20"/>
              </w:rPr>
            </w:pPr>
            <w:r w:rsidRPr="007F03BF">
              <w:rPr>
                <w:rFonts w:ascii="Arial" w:hAnsi="Arial" w:cs="Arial"/>
                <w:color w:val="000000"/>
                <w:sz w:val="20"/>
                <w:szCs w:val="20"/>
              </w:rPr>
              <w:t>Sistema Público de Radiodifusión de la Ciudad de México</w:t>
            </w:r>
            <w:r w:rsidR="009A6800" w:rsidRPr="007F03BF">
              <w:rPr>
                <w:rFonts w:ascii="Arial" w:hAnsi="Arial" w:cs="Arial"/>
                <w:color w:val="000000"/>
                <w:sz w:val="20"/>
                <w:szCs w:val="20"/>
              </w:rPr>
              <w:t>.</w:t>
            </w:r>
          </w:p>
        </w:tc>
        <w:tc>
          <w:tcPr>
            <w:tcW w:w="1559" w:type="dxa"/>
            <w:tcBorders>
              <w:top w:val="nil"/>
              <w:left w:val="nil"/>
              <w:bottom w:val="single" w:sz="4" w:space="0" w:color="auto"/>
              <w:right w:val="single" w:sz="4" w:space="0" w:color="auto"/>
            </w:tcBorders>
            <w:shd w:val="clear" w:color="auto" w:fill="auto"/>
            <w:vAlign w:val="center"/>
            <w:hideMark/>
          </w:tcPr>
          <w:p w14:paraId="5144A26A"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87.7</w:t>
            </w:r>
          </w:p>
        </w:tc>
        <w:tc>
          <w:tcPr>
            <w:tcW w:w="1703" w:type="dxa"/>
            <w:tcBorders>
              <w:top w:val="nil"/>
              <w:left w:val="nil"/>
              <w:bottom w:val="single" w:sz="4" w:space="0" w:color="auto"/>
              <w:right w:val="single" w:sz="4" w:space="0" w:color="auto"/>
            </w:tcBorders>
            <w:shd w:val="clear" w:color="auto" w:fill="auto"/>
            <w:vAlign w:val="center"/>
            <w:hideMark/>
          </w:tcPr>
          <w:p w14:paraId="51178D94"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99.03</w:t>
            </w:r>
          </w:p>
        </w:tc>
        <w:tc>
          <w:tcPr>
            <w:tcW w:w="990" w:type="dxa"/>
            <w:tcBorders>
              <w:top w:val="nil"/>
              <w:left w:val="nil"/>
              <w:bottom w:val="single" w:sz="4" w:space="0" w:color="auto"/>
              <w:right w:val="single" w:sz="4" w:space="0" w:color="auto"/>
            </w:tcBorders>
            <w:shd w:val="clear" w:color="auto" w:fill="auto"/>
            <w:vAlign w:val="center"/>
            <w:hideMark/>
          </w:tcPr>
          <w:p w14:paraId="0F9F5523"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11.33</w:t>
            </w:r>
          </w:p>
        </w:tc>
      </w:tr>
      <w:tr w:rsidR="001E0DF8" w:rsidRPr="007F03BF" w14:paraId="482A4B70" w14:textId="77777777" w:rsidTr="001E0DF8">
        <w:trPr>
          <w:trHeight w:val="680"/>
        </w:trPr>
        <w:tc>
          <w:tcPr>
            <w:tcW w:w="463" w:type="dxa"/>
            <w:tcBorders>
              <w:top w:val="nil"/>
              <w:left w:val="single" w:sz="4" w:space="0" w:color="auto"/>
              <w:bottom w:val="single" w:sz="4" w:space="0" w:color="auto"/>
              <w:right w:val="single" w:sz="4" w:space="0" w:color="auto"/>
            </w:tcBorders>
            <w:shd w:val="clear" w:color="auto" w:fill="auto"/>
            <w:vAlign w:val="bottom"/>
            <w:hideMark/>
          </w:tcPr>
          <w:p w14:paraId="6E930B9D" w14:textId="77777777" w:rsidR="001E0DF8" w:rsidRPr="007F03BF" w:rsidRDefault="001E0DF8" w:rsidP="001E0DF8">
            <w:pPr>
              <w:jc w:val="right"/>
              <w:rPr>
                <w:rFonts w:ascii="Arial" w:hAnsi="Arial" w:cs="Arial"/>
                <w:color w:val="000000"/>
                <w:sz w:val="20"/>
                <w:szCs w:val="20"/>
              </w:rPr>
            </w:pPr>
            <w:r w:rsidRPr="007F03BF">
              <w:rPr>
                <w:rFonts w:ascii="Arial" w:hAnsi="Arial" w:cs="Arial"/>
                <w:color w:val="000000"/>
                <w:sz w:val="20"/>
                <w:szCs w:val="20"/>
              </w:rPr>
              <w:t>4</w:t>
            </w:r>
          </w:p>
        </w:tc>
        <w:tc>
          <w:tcPr>
            <w:tcW w:w="4352" w:type="dxa"/>
            <w:tcBorders>
              <w:top w:val="nil"/>
              <w:left w:val="nil"/>
              <w:bottom w:val="single" w:sz="4" w:space="0" w:color="auto"/>
              <w:right w:val="single" w:sz="4" w:space="0" w:color="auto"/>
            </w:tcBorders>
            <w:shd w:val="clear" w:color="auto" w:fill="auto"/>
            <w:vAlign w:val="center"/>
            <w:hideMark/>
          </w:tcPr>
          <w:p w14:paraId="1A316E43" w14:textId="77777777" w:rsidR="001E0DF8" w:rsidRPr="007F03BF" w:rsidRDefault="001E0DF8" w:rsidP="001E0DF8">
            <w:pPr>
              <w:rPr>
                <w:rFonts w:ascii="Arial" w:hAnsi="Arial" w:cs="Arial"/>
                <w:color w:val="000000"/>
                <w:sz w:val="20"/>
                <w:szCs w:val="20"/>
              </w:rPr>
            </w:pPr>
            <w:r w:rsidRPr="007F03BF">
              <w:rPr>
                <w:rFonts w:ascii="Arial" w:hAnsi="Arial" w:cs="Arial"/>
                <w:color w:val="000000"/>
                <w:sz w:val="20"/>
                <w:szCs w:val="20"/>
              </w:rPr>
              <w:t>Agencia de Atención Animal.</w:t>
            </w:r>
          </w:p>
        </w:tc>
        <w:tc>
          <w:tcPr>
            <w:tcW w:w="1559" w:type="dxa"/>
            <w:tcBorders>
              <w:top w:val="nil"/>
              <w:left w:val="nil"/>
              <w:bottom w:val="single" w:sz="4" w:space="0" w:color="auto"/>
              <w:right w:val="single" w:sz="4" w:space="0" w:color="auto"/>
            </w:tcBorders>
            <w:shd w:val="clear" w:color="auto" w:fill="auto"/>
            <w:vAlign w:val="center"/>
            <w:hideMark/>
          </w:tcPr>
          <w:p w14:paraId="755FCD4A"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89.57</w:t>
            </w:r>
          </w:p>
        </w:tc>
        <w:tc>
          <w:tcPr>
            <w:tcW w:w="1703" w:type="dxa"/>
            <w:tcBorders>
              <w:top w:val="nil"/>
              <w:left w:val="nil"/>
              <w:bottom w:val="single" w:sz="4" w:space="0" w:color="auto"/>
              <w:right w:val="single" w:sz="4" w:space="0" w:color="auto"/>
            </w:tcBorders>
            <w:shd w:val="clear" w:color="auto" w:fill="auto"/>
            <w:vAlign w:val="center"/>
            <w:hideMark/>
          </w:tcPr>
          <w:p w14:paraId="77537EA0"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97.14</w:t>
            </w:r>
          </w:p>
        </w:tc>
        <w:tc>
          <w:tcPr>
            <w:tcW w:w="990" w:type="dxa"/>
            <w:tcBorders>
              <w:top w:val="nil"/>
              <w:left w:val="nil"/>
              <w:bottom w:val="single" w:sz="4" w:space="0" w:color="auto"/>
              <w:right w:val="single" w:sz="4" w:space="0" w:color="auto"/>
            </w:tcBorders>
            <w:shd w:val="clear" w:color="auto" w:fill="auto"/>
            <w:vAlign w:val="center"/>
            <w:hideMark/>
          </w:tcPr>
          <w:p w14:paraId="592DABF2"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7.57</w:t>
            </w:r>
          </w:p>
        </w:tc>
      </w:tr>
      <w:tr w:rsidR="001E0DF8" w:rsidRPr="007F03BF" w14:paraId="2177E55E" w14:textId="77777777" w:rsidTr="001E0DF8">
        <w:trPr>
          <w:trHeight w:val="680"/>
        </w:trPr>
        <w:tc>
          <w:tcPr>
            <w:tcW w:w="463" w:type="dxa"/>
            <w:tcBorders>
              <w:top w:val="nil"/>
              <w:left w:val="single" w:sz="4" w:space="0" w:color="auto"/>
              <w:bottom w:val="single" w:sz="4" w:space="0" w:color="auto"/>
              <w:right w:val="single" w:sz="4" w:space="0" w:color="auto"/>
            </w:tcBorders>
            <w:shd w:val="clear" w:color="auto" w:fill="auto"/>
            <w:vAlign w:val="bottom"/>
            <w:hideMark/>
          </w:tcPr>
          <w:p w14:paraId="199CF071" w14:textId="77777777" w:rsidR="001E0DF8" w:rsidRPr="007F03BF" w:rsidRDefault="001E0DF8" w:rsidP="001E0DF8">
            <w:pPr>
              <w:jc w:val="right"/>
              <w:rPr>
                <w:rFonts w:ascii="Arial" w:hAnsi="Arial" w:cs="Arial"/>
                <w:color w:val="000000"/>
                <w:sz w:val="20"/>
                <w:szCs w:val="20"/>
              </w:rPr>
            </w:pPr>
            <w:r w:rsidRPr="007F03BF">
              <w:rPr>
                <w:rFonts w:ascii="Arial" w:hAnsi="Arial" w:cs="Arial"/>
                <w:color w:val="000000"/>
                <w:sz w:val="20"/>
                <w:szCs w:val="20"/>
              </w:rPr>
              <w:t>5</w:t>
            </w:r>
          </w:p>
        </w:tc>
        <w:tc>
          <w:tcPr>
            <w:tcW w:w="4352" w:type="dxa"/>
            <w:tcBorders>
              <w:top w:val="nil"/>
              <w:left w:val="nil"/>
              <w:bottom w:val="single" w:sz="4" w:space="0" w:color="auto"/>
              <w:right w:val="single" w:sz="4" w:space="0" w:color="auto"/>
            </w:tcBorders>
            <w:shd w:val="clear" w:color="auto" w:fill="auto"/>
            <w:vAlign w:val="center"/>
            <w:hideMark/>
          </w:tcPr>
          <w:p w14:paraId="34C0CFFB" w14:textId="77777777" w:rsidR="001E0DF8" w:rsidRPr="007F03BF" w:rsidRDefault="001E0DF8" w:rsidP="001E0DF8">
            <w:pPr>
              <w:rPr>
                <w:rFonts w:ascii="Arial" w:hAnsi="Arial" w:cs="Arial"/>
                <w:color w:val="000000"/>
                <w:sz w:val="20"/>
                <w:szCs w:val="20"/>
              </w:rPr>
            </w:pPr>
            <w:r w:rsidRPr="007F03BF">
              <w:rPr>
                <w:rFonts w:ascii="Arial" w:hAnsi="Arial" w:cs="Arial"/>
                <w:color w:val="000000"/>
                <w:sz w:val="20"/>
                <w:szCs w:val="20"/>
              </w:rPr>
              <w:t>Régimen de Protección Social en Salud de la Ciudad de México</w:t>
            </w:r>
            <w:r w:rsidR="009A6800" w:rsidRPr="007F03BF">
              <w:rPr>
                <w:rFonts w:ascii="Arial" w:hAnsi="Arial" w:cs="Arial"/>
                <w:color w:val="000000"/>
                <w:sz w:val="20"/>
                <w:szCs w:val="20"/>
              </w:rPr>
              <w:t>.</w:t>
            </w:r>
          </w:p>
        </w:tc>
        <w:tc>
          <w:tcPr>
            <w:tcW w:w="1559" w:type="dxa"/>
            <w:tcBorders>
              <w:top w:val="nil"/>
              <w:left w:val="nil"/>
              <w:bottom w:val="single" w:sz="4" w:space="0" w:color="auto"/>
              <w:right w:val="single" w:sz="4" w:space="0" w:color="auto"/>
            </w:tcBorders>
            <w:shd w:val="clear" w:color="auto" w:fill="auto"/>
            <w:vAlign w:val="center"/>
            <w:hideMark/>
          </w:tcPr>
          <w:p w14:paraId="63F79B1C"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42.27</w:t>
            </w:r>
          </w:p>
        </w:tc>
        <w:tc>
          <w:tcPr>
            <w:tcW w:w="1703" w:type="dxa"/>
            <w:tcBorders>
              <w:top w:val="nil"/>
              <w:left w:val="nil"/>
              <w:bottom w:val="single" w:sz="4" w:space="0" w:color="auto"/>
              <w:right w:val="single" w:sz="4" w:space="0" w:color="auto"/>
            </w:tcBorders>
            <w:shd w:val="clear" w:color="auto" w:fill="auto"/>
            <w:vAlign w:val="center"/>
            <w:hideMark/>
          </w:tcPr>
          <w:p w14:paraId="2D067397"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60.91</w:t>
            </w:r>
          </w:p>
        </w:tc>
        <w:tc>
          <w:tcPr>
            <w:tcW w:w="990" w:type="dxa"/>
            <w:tcBorders>
              <w:top w:val="nil"/>
              <w:left w:val="nil"/>
              <w:bottom w:val="single" w:sz="4" w:space="0" w:color="auto"/>
              <w:right w:val="single" w:sz="4" w:space="0" w:color="auto"/>
            </w:tcBorders>
            <w:shd w:val="clear" w:color="auto" w:fill="auto"/>
            <w:vAlign w:val="center"/>
            <w:hideMark/>
          </w:tcPr>
          <w:p w14:paraId="6B8D2957"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18.64</w:t>
            </w:r>
          </w:p>
        </w:tc>
      </w:tr>
      <w:tr w:rsidR="001E0DF8" w:rsidRPr="007F03BF" w14:paraId="1C4C39E8" w14:textId="77777777" w:rsidTr="001E0DF8">
        <w:trPr>
          <w:trHeight w:val="680"/>
        </w:trPr>
        <w:tc>
          <w:tcPr>
            <w:tcW w:w="463" w:type="dxa"/>
            <w:tcBorders>
              <w:top w:val="nil"/>
              <w:left w:val="single" w:sz="4" w:space="0" w:color="auto"/>
              <w:bottom w:val="single" w:sz="4" w:space="0" w:color="auto"/>
              <w:right w:val="single" w:sz="4" w:space="0" w:color="auto"/>
            </w:tcBorders>
            <w:shd w:val="clear" w:color="auto" w:fill="auto"/>
            <w:vAlign w:val="bottom"/>
            <w:hideMark/>
          </w:tcPr>
          <w:p w14:paraId="0FA71D3F" w14:textId="77777777" w:rsidR="001E0DF8" w:rsidRPr="007F03BF" w:rsidRDefault="001E0DF8" w:rsidP="001E0DF8">
            <w:pPr>
              <w:jc w:val="right"/>
              <w:rPr>
                <w:rFonts w:ascii="Arial" w:hAnsi="Arial" w:cs="Arial"/>
                <w:color w:val="000000"/>
                <w:sz w:val="20"/>
                <w:szCs w:val="20"/>
              </w:rPr>
            </w:pPr>
            <w:r w:rsidRPr="007F03BF">
              <w:rPr>
                <w:rFonts w:ascii="Arial" w:hAnsi="Arial" w:cs="Arial"/>
                <w:color w:val="000000"/>
                <w:sz w:val="20"/>
                <w:szCs w:val="20"/>
              </w:rPr>
              <w:t>6</w:t>
            </w:r>
          </w:p>
        </w:tc>
        <w:tc>
          <w:tcPr>
            <w:tcW w:w="4352" w:type="dxa"/>
            <w:tcBorders>
              <w:top w:val="nil"/>
              <w:left w:val="nil"/>
              <w:bottom w:val="single" w:sz="4" w:space="0" w:color="auto"/>
              <w:right w:val="single" w:sz="4" w:space="0" w:color="auto"/>
            </w:tcBorders>
            <w:shd w:val="clear" w:color="auto" w:fill="auto"/>
            <w:vAlign w:val="center"/>
            <w:hideMark/>
          </w:tcPr>
          <w:p w14:paraId="1919A20D" w14:textId="77777777" w:rsidR="001E0DF8" w:rsidRPr="007F03BF" w:rsidRDefault="001E0DF8" w:rsidP="001E0DF8">
            <w:pPr>
              <w:rPr>
                <w:rFonts w:ascii="Arial" w:hAnsi="Arial" w:cs="Arial"/>
                <w:color w:val="000000"/>
                <w:sz w:val="20"/>
                <w:szCs w:val="20"/>
              </w:rPr>
            </w:pPr>
            <w:r w:rsidRPr="007F03BF">
              <w:rPr>
                <w:rFonts w:ascii="Arial" w:hAnsi="Arial" w:cs="Arial"/>
                <w:color w:val="000000"/>
                <w:sz w:val="20"/>
                <w:szCs w:val="20"/>
              </w:rPr>
              <w:t>Planta Productora de Mezclas Asfálticas.</w:t>
            </w:r>
          </w:p>
        </w:tc>
        <w:tc>
          <w:tcPr>
            <w:tcW w:w="1559" w:type="dxa"/>
            <w:tcBorders>
              <w:top w:val="nil"/>
              <w:left w:val="nil"/>
              <w:bottom w:val="single" w:sz="4" w:space="0" w:color="auto"/>
              <w:right w:val="single" w:sz="4" w:space="0" w:color="auto"/>
            </w:tcBorders>
            <w:shd w:val="clear" w:color="auto" w:fill="auto"/>
            <w:vAlign w:val="center"/>
            <w:hideMark/>
          </w:tcPr>
          <w:p w14:paraId="076A8DFD"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33.93</w:t>
            </w:r>
          </w:p>
        </w:tc>
        <w:tc>
          <w:tcPr>
            <w:tcW w:w="1703" w:type="dxa"/>
            <w:tcBorders>
              <w:top w:val="nil"/>
              <w:left w:val="nil"/>
              <w:bottom w:val="single" w:sz="4" w:space="0" w:color="auto"/>
              <w:right w:val="single" w:sz="4" w:space="0" w:color="auto"/>
            </w:tcBorders>
            <w:shd w:val="clear" w:color="auto" w:fill="auto"/>
            <w:vAlign w:val="center"/>
            <w:hideMark/>
          </w:tcPr>
          <w:p w14:paraId="1DD5DE68"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34.19</w:t>
            </w:r>
          </w:p>
        </w:tc>
        <w:tc>
          <w:tcPr>
            <w:tcW w:w="990" w:type="dxa"/>
            <w:tcBorders>
              <w:top w:val="nil"/>
              <w:left w:val="nil"/>
              <w:bottom w:val="single" w:sz="4" w:space="0" w:color="auto"/>
              <w:right w:val="single" w:sz="4" w:space="0" w:color="auto"/>
            </w:tcBorders>
            <w:shd w:val="clear" w:color="auto" w:fill="auto"/>
            <w:vAlign w:val="center"/>
            <w:hideMark/>
          </w:tcPr>
          <w:p w14:paraId="30C1F7CD"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0.26</w:t>
            </w:r>
          </w:p>
        </w:tc>
      </w:tr>
      <w:tr w:rsidR="001E0DF8" w:rsidRPr="007F03BF" w14:paraId="52A92D0E" w14:textId="77777777" w:rsidTr="001E0DF8">
        <w:trPr>
          <w:trHeight w:val="680"/>
        </w:trPr>
        <w:tc>
          <w:tcPr>
            <w:tcW w:w="463" w:type="dxa"/>
            <w:tcBorders>
              <w:top w:val="nil"/>
              <w:left w:val="single" w:sz="4" w:space="0" w:color="auto"/>
              <w:bottom w:val="single" w:sz="4" w:space="0" w:color="auto"/>
              <w:right w:val="single" w:sz="4" w:space="0" w:color="auto"/>
            </w:tcBorders>
            <w:shd w:val="clear" w:color="auto" w:fill="auto"/>
            <w:vAlign w:val="bottom"/>
            <w:hideMark/>
          </w:tcPr>
          <w:p w14:paraId="3356493B" w14:textId="77777777" w:rsidR="001E0DF8" w:rsidRPr="007F03BF" w:rsidRDefault="001E0DF8" w:rsidP="001E0DF8">
            <w:pPr>
              <w:jc w:val="right"/>
              <w:rPr>
                <w:rFonts w:ascii="Arial" w:hAnsi="Arial" w:cs="Arial"/>
                <w:color w:val="000000"/>
                <w:sz w:val="20"/>
                <w:szCs w:val="20"/>
              </w:rPr>
            </w:pPr>
            <w:r w:rsidRPr="007F03BF">
              <w:rPr>
                <w:rFonts w:ascii="Arial" w:hAnsi="Arial" w:cs="Arial"/>
                <w:color w:val="000000"/>
                <w:sz w:val="20"/>
                <w:szCs w:val="20"/>
              </w:rPr>
              <w:t>7</w:t>
            </w:r>
          </w:p>
        </w:tc>
        <w:tc>
          <w:tcPr>
            <w:tcW w:w="4352" w:type="dxa"/>
            <w:tcBorders>
              <w:top w:val="nil"/>
              <w:left w:val="nil"/>
              <w:bottom w:val="single" w:sz="4" w:space="0" w:color="auto"/>
              <w:right w:val="single" w:sz="4" w:space="0" w:color="auto"/>
            </w:tcBorders>
            <w:shd w:val="clear" w:color="auto" w:fill="auto"/>
            <w:vAlign w:val="center"/>
            <w:hideMark/>
          </w:tcPr>
          <w:p w14:paraId="10442F02" w14:textId="77777777" w:rsidR="001E0DF8" w:rsidRPr="007F03BF" w:rsidRDefault="001E0DF8" w:rsidP="001E0DF8">
            <w:pPr>
              <w:rPr>
                <w:rFonts w:ascii="Arial" w:hAnsi="Arial" w:cs="Arial"/>
                <w:color w:val="000000"/>
                <w:sz w:val="20"/>
                <w:szCs w:val="20"/>
              </w:rPr>
            </w:pPr>
            <w:r w:rsidRPr="007F03BF">
              <w:rPr>
                <w:rFonts w:ascii="Arial" w:hAnsi="Arial" w:cs="Arial"/>
                <w:color w:val="000000"/>
                <w:sz w:val="20"/>
                <w:szCs w:val="20"/>
              </w:rPr>
              <w:t>Fondo Público de Atención al Ciclista y al Peatón.</w:t>
            </w:r>
          </w:p>
        </w:tc>
        <w:tc>
          <w:tcPr>
            <w:tcW w:w="1559" w:type="dxa"/>
            <w:tcBorders>
              <w:top w:val="nil"/>
              <w:left w:val="nil"/>
              <w:bottom w:val="single" w:sz="4" w:space="0" w:color="auto"/>
              <w:right w:val="single" w:sz="4" w:space="0" w:color="auto"/>
            </w:tcBorders>
            <w:shd w:val="clear" w:color="auto" w:fill="auto"/>
            <w:vAlign w:val="center"/>
            <w:hideMark/>
          </w:tcPr>
          <w:p w14:paraId="22CC19A6"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7.71</w:t>
            </w:r>
          </w:p>
        </w:tc>
        <w:tc>
          <w:tcPr>
            <w:tcW w:w="1703" w:type="dxa"/>
            <w:tcBorders>
              <w:top w:val="nil"/>
              <w:left w:val="nil"/>
              <w:bottom w:val="single" w:sz="4" w:space="0" w:color="auto"/>
              <w:right w:val="single" w:sz="4" w:space="0" w:color="auto"/>
            </w:tcBorders>
            <w:shd w:val="clear" w:color="auto" w:fill="auto"/>
            <w:vAlign w:val="center"/>
            <w:hideMark/>
          </w:tcPr>
          <w:p w14:paraId="0B00B872"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17.90</w:t>
            </w:r>
          </w:p>
        </w:tc>
        <w:tc>
          <w:tcPr>
            <w:tcW w:w="990" w:type="dxa"/>
            <w:tcBorders>
              <w:top w:val="nil"/>
              <w:left w:val="nil"/>
              <w:bottom w:val="single" w:sz="4" w:space="0" w:color="auto"/>
              <w:right w:val="single" w:sz="4" w:space="0" w:color="auto"/>
            </w:tcBorders>
            <w:shd w:val="clear" w:color="auto" w:fill="auto"/>
            <w:vAlign w:val="center"/>
            <w:hideMark/>
          </w:tcPr>
          <w:p w14:paraId="35B0974D" w14:textId="77777777" w:rsidR="001E0DF8" w:rsidRPr="007F03BF" w:rsidRDefault="001E0DF8" w:rsidP="001E0DF8">
            <w:pPr>
              <w:jc w:val="center"/>
              <w:rPr>
                <w:rFonts w:ascii="Arial" w:hAnsi="Arial" w:cs="Arial"/>
                <w:color w:val="000000"/>
                <w:sz w:val="20"/>
                <w:szCs w:val="20"/>
              </w:rPr>
            </w:pPr>
            <w:r w:rsidRPr="007F03BF">
              <w:rPr>
                <w:rFonts w:ascii="Arial" w:hAnsi="Arial" w:cs="Arial"/>
                <w:color w:val="000000"/>
                <w:sz w:val="20"/>
                <w:szCs w:val="20"/>
              </w:rPr>
              <w:t>10.19</w:t>
            </w:r>
          </w:p>
        </w:tc>
      </w:tr>
    </w:tbl>
    <w:p w14:paraId="3F3241E3" w14:textId="77777777" w:rsidR="00D23BCA" w:rsidRPr="007F03BF" w:rsidRDefault="00D23BCA" w:rsidP="00D23BCA">
      <w:pPr>
        <w:spacing w:before="100" w:beforeAutospacing="1" w:after="100" w:afterAutospacing="1" w:line="360" w:lineRule="auto"/>
        <w:contextualSpacing/>
        <w:jc w:val="both"/>
        <w:rPr>
          <w:rFonts w:ascii="Arial" w:hAnsi="Arial" w:cs="Arial"/>
        </w:rPr>
      </w:pPr>
    </w:p>
    <w:p w14:paraId="0616661A" w14:textId="77777777" w:rsidR="00D23BCA" w:rsidRPr="007F03BF" w:rsidRDefault="00D23BCA" w:rsidP="00D23BCA">
      <w:pPr>
        <w:spacing w:before="100" w:beforeAutospacing="1" w:after="100" w:afterAutospacing="1" w:line="360" w:lineRule="auto"/>
        <w:jc w:val="both"/>
        <w:rPr>
          <w:rFonts w:ascii="Arial" w:hAnsi="Arial" w:cs="Arial"/>
        </w:rPr>
      </w:pPr>
      <w:r w:rsidRPr="007F03BF">
        <w:rPr>
          <w:rFonts w:ascii="Arial" w:hAnsi="Arial" w:cs="Arial"/>
        </w:rPr>
        <w:lastRenderedPageBreak/>
        <w:t xml:space="preserve">Con relación a las recomendaciones y observaciones emitidas al Poder Ejecutivo – </w:t>
      </w:r>
      <w:r w:rsidR="009217D9" w:rsidRPr="007F03BF">
        <w:rPr>
          <w:rFonts w:ascii="Arial" w:hAnsi="Arial" w:cs="Arial"/>
        </w:rPr>
        <w:t>Órganos Desconcentrados, Fondos y Fideicomisos</w:t>
      </w:r>
      <w:r w:rsidRPr="007F03BF">
        <w:rPr>
          <w:rFonts w:ascii="Arial" w:hAnsi="Arial" w:cs="Arial"/>
        </w:rPr>
        <w:t>,</w:t>
      </w:r>
      <w:r w:rsidR="009217D9" w:rsidRPr="007F03BF">
        <w:rPr>
          <w:rFonts w:ascii="Arial" w:hAnsi="Arial" w:cs="Arial"/>
        </w:rPr>
        <w:t xml:space="preserve"> </w:t>
      </w:r>
      <w:r w:rsidR="00B829C8" w:rsidRPr="007F03BF">
        <w:rPr>
          <w:rFonts w:ascii="Arial" w:hAnsi="Arial" w:cs="Arial"/>
        </w:rPr>
        <w:t xml:space="preserve">los siete </w:t>
      </w:r>
      <w:r w:rsidRPr="007F03BF">
        <w:rPr>
          <w:rFonts w:ascii="Arial" w:hAnsi="Arial" w:cs="Arial"/>
        </w:rPr>
        <w:t>sujetos obligados atendieron las mismas</w:t>
      </w:r>
      <w:r w:rsidR="00B829C8" w:rsidRPr="007F03BF">
        <w:rPr>
          <w:rFonts w:ascii="Arial" w:hAnsi="Arial" w:cs="Arial"/>
        </w:rPr>
        <w:t xml:space="preserve">. </w:t>
      </w:r>
    </w:p>
    <w:p w14:paraId="2457B59C" w14:textId="77777777" w:rsidR="009D6D61" w:rsidRPr="007F03BF" w:rsidRDefault="00B829C8" w:rsidP="00D23BCA">
      <w:pPr>
        <w:spacing w:before="100" w:beforeAutospacing="1" w:after="100" w:afterAutospacing="1" w:line="360" w:lineRule="auto"/>
        <w:jc w:val="both"/>
        <w:rPr>
          <w:rFonts w:ascii="Arial" w:hAnsi="Arial" w:cs="Arial"/>
        </w:rPr>
      </w:pPr>
      <w:r w:rsidRPr="007F03BF">
        <w:rPr>
          <w:rFonts w:ascii="Arial" w:hAnsi="Arial" w:cs="Arial"/>
        </w:rPr>
        <w:t>Uno atendió a</w:t>
      </w:r>
      <w:r w:rsidR="009217D9" w:rsidRPr="007F03BF">
        <w:rPr>
          <w:rFonts w:ascii="Arial" w:hAnsi="Arial" w:cs="Arial"/>
        </w:rPr>
        <w:t xml:space="preserve"> cabalidad las recomendaciones emitidas en la Primera Evaluación Vinculante 2019, por lo que alcanzó un IGOT de 100%</w:t>
      </w:r>
      <w:r w:rsidRPr="007F03BF">
        <w:rPr>
          <w:rFonts w:ascii="Arial" w:hAnsi="Arial" w:cs="Arial"/>
        </w:rPr>
        <w:t xml:space="preserve"> y cuatro</w:t>
      </w:r>
      <w:r w:rsidR="009D6D61" w:rsidRPr="007F03BF">
        <w:rPr>
          <w:rFonts w:ascii="Arial" w:hAnsi="Arial" w:cs="Arial"/>
        </w:rPr>
        <w:t xml:space="preserve"> sujetos se encuentran ubicados en un </w:t>
      </w:r>
      <w:r w:rsidR="00900995" w:rsidRPr="007F03BF">
        <w:rPr>
          <w:rFonts w:ascii="Arial" w:hAnsi="Arial" w:cs="Arial"/>
        </w:rPr>
        <w:t>cumplimiento</w:t>
      </w:r>
      <w:r w:rsidR="009D6D61" w:rsidRPr="007F03BF">
        <w:rPr>
          <w:rFonts w:ascii="Arial" w:hAnsi="Arial" w:cs="Arial"/>
        </w:rPr>
        <w:t xml:space="preserve"> parcial y </w:t>
      </w:r>
      <w:r w:rsidRPr="007F03BF">
        <w:rPr>
          <w:rFonts w:ascii="Arial" w:hAnsi="Arial" w:cs="Arial"/>
        </w:rPr>
        <w:t>dos</w:t>
      </w:r>
      <w:r w:rsidR="009D6D61" w:rsidRPr="007F03BF">
        <w:rPr>
          <w:rFonts w:ascii="Arial" w:hAnsi="Arial" w:cs="Arial"/>
        </w:rPr>
        <w:t xml:space="preserve"> en </w:t>
      </w:r>
      <w:r w:rsidR="00900995" w:rsidRPr="007F03BF">
        <w:rPr>
          <w:rFonts w:ascii="Arial" w:hAnsi="Arial" w:cs="Arial"/>
        </w:rPr>
        <w:t>incumplimiento</w:t>
      </w:r>
      <w:r w:rsidR="009D6D61" w:rsidRPr="007F03BF">
        <w:rPr>
          <w:rFonts w:ascii="Arial" w:hAnsi="Arial" w:cs="Arial"/>
        </w:rPr>
        <w:t xml:space="preserve"> parcial.</w:t>
      </w:r>
    </w:p>
    <w:p w14:paraId="53DEE40F" w14:textId="77777777" w:rsidR="009217D9" w:rsidRPr="007F03BF" w:rsidRDefault="00B829C8" w:rsidP="00D23BCA">
      <w:pPr>
        <w:spacing w:before="100" w:beforeAutospacing="1" w:after="100" w:afterAutospacing="1" w:line="360" w:lineRule="auto"/>
        <w:jc w:val="both"/>
        <w:rPr>
          <w:rFonts w:ascii="Arial" w:hAnsi="Arial" w:cs="Arial"/>
        </w:rPr>
      </w:pPr>
      <w:r w:rsidRPr="007F03BF">
        <w:rPr>
          <w:rFonts w:ascii="Arial" w:hAnsi="Arial" w:cs="Arial"/>
        </w:rPr>
        <w:t xml:space="preserve">Tres </w:t>
      </w:r>
      <w:r w:rsidR="009217D9" w:rsidRPr="007F03BF">
        <w:rPr>
          <w:rFonts w:ascii="Arial" w:hAnsi="Arial" w:cs="Arial"/>
        </w:rPr>
        <w:t>sujetos tuvieron un IGOT entre 90% y 99%;</w:t>
      </w:r>
      <w:r w:rsidRPr="007F03BF">
        <w:rPr>
          <w:rFonts w:ascii="Arial" w:hAnsi="Arial" w:cs="Arial"/>
        </w:rPr>
        <w:t xml:space="preserve"> un sujeto un </w:t>
      </w:r>
      <w:r w:rsidR="009217D9" w:rsidRPr="007F03BF">
        <w:rPr>
          <w:rFonts w:ascii="Arial" w:hAnsi="Arial" w:cs="Arial"/>
        </w:rPr>
        <w:t xml:space="preserve">IGOT </w:t>
      </w:r>
      <w:r w:rsidRPr="007F03BF">
        <w:rPr>
          <w:rFonts w:ascii="Arial" w:hAnsi="Arial" w:cs="Arial"/>
        </w:rPr>
        <w:t xml:space="preserve">de 60% y dos </w:t>
      </w:r>
      <w:r w:rsidR="009217D9" w:rsidRPr="007F03BF">
        <w:rPr>
          <w:rFonts w:ascii="Arial" w:hAnsi="Arial" w:cs="Arial"/>
        </w:rPr>
        <w:t xml:space="preserve">un IGOT entre </w:t>
      </w:r>
      <w:r w:rsidRPr="007F03BF">
        <w:rPr>
          <w:rFonts w:ascii="Arial" w:hAnsi="Arial" w:cs="Arial"/>
        </w:rPr>
        <w:t>15% y 35%.</w:t>
      </w:r>
      <w:r w:rsidR="009217D9" w:rsidRPr="007F03BF">
        <w:rPr>
          <w:rFonts w:ascii="Arial" w:hAnsi="Arial" w:cs="Arial"/>
        </w:rPr>
        <w:t xml:space="preserve"> </w:t>
      </w:r>
      <w:r w:rsidRPr="007F03BF">
        <w:rPr>
          <w:rFonts w:ascii="Arial" w:hAnsi="Arial" w:cs="Arial"/>
        </w:rPr>
        <w:t>Es importante señalar que el Régimen de Protección Social en Salud de la Ciudad de México pasó de un incumplimiento parcial de 42.27% a un cumplimiento parcial de 60.91%; mientras que la Planta Productora de Mezclas Asfálticas tuvo una mejoría de .26 puntos en su índice y el Fondo Público de Atención al Ciclista y al Peatón una mejoría de 10.19 puntos, conservándose ambos en un incumplimiento parcial.</w:t>
      </w:r>
    </w:p>
    <w:p w14:paraId="28DFEABE" w14:textId="77777777" w:rsidR="00D23BCA" w:rsidRPr="007F03BF" w:rsidRDefault="00D23BCA" w:rsidP="00D23BCA">
      <w:pPr>
        <w:spacing w:before="100" w:beforeAutospacing="1" w:after="100" w:afterAutospacing="1" w:line="360" w:lineRule="auto"/>
        <w:jc w:val="both"/>
        <w:rPr>
          <w:rFonts w:ascii="Arial" w:hAnsi="Arial" w:cs="Arial"/>
        </w:rPr>
      </w:pPr>
      <w:r w:rsidRPr="007F03BF">
        <w:rPr>
          <w:rFonts w:ascii="Arial" w:hAnsi="Arial" w:cs="Arial"/>
        </w:rPr>
        <w:t xml:space="preserve">Los sujetos de este ámbito tuvieron una mejoría promedio en su índice de </w:t>
      </w:r>
      <w:r w:rsidR="00B829C8" w:rsidRPr="007F03BF">
        <w:rPr>
          <w:rFonts w:ascii="Arial" w:hAnsi="Arial" w:cs="Arial"/>
        </w:rPr>
        <w:t>10.7</w:t>
      </w:r>
      <w:r w:rsidR="00900995" w:rsidRPr="007F03BF">
        <w:rPr>
          <w:rFonts w:ascii="Arial" w:hAnsi="Arial" w:cs="Arial"/>
        </w:rPr>
        <w:t xml:space="preserve"> puntos</w:t>
      </w:r>
      <w:r w:rsidRPr="007F03BF">
        <w:rPr>
          <w:rFonts w:ascii="Arial" w:hAnsi="Arial" w:cs="Arial"/>
        </w:rPr>
        <w:t>.</w:t>
      </w:r>
    </w:p>
    <w:p w14:paraId="313D45F4" w14:textId="77777777" w:rsidR="00D23BCA" w:rsidRPr="007F03BF" w:rsidRDefault="00D23BCA" w:rsidP="00F64E7A">
      <w:pPr>
        <w:ind w:left="360" w:hanging="360"/>
        <w:contextualSpacing/>
      </w:pPr>
    </w:p>
    <w:p w14:paraId="16B16DB2" w14:textId="77777777" w:rsidR="00FF7BD9" w:rsidRPr="007F03BF" w:rsidRDefault="00FF7BD9" w:rsidP="00FF7BD9">
      <w:pPr>
        <w:rPr>
          <w:rFonts w:ascii="Arial" w:hAnsi="Arial" w:cs="Arial"/>
          <w:b/>
        </w:rPr>
      </w:pPr>
    </w:p>
    <w:p w14:paraId="2FCA0727" w14:textId="77777777" w:rsidR="00FF7BD9" w:rsidRPr="007F03BF" w:rsidRDefault="00FF7BD9">
      <w:pPr>
        <w:rPr>
          <w:rFonts w:ascii="Arial" w:hAnsi="Arial" w:cs="Arial"/>
          <w:b/>
        </w:rPr>
      </w:pPr>
      <w:r w:rsidRPr="007F03BF">
        <w:rPr>
          <w:rFonts w:ascii="Arial" w:hAnsi="Arial" w:cs="Arial"/>
          <w:b/>
        </w:rPr>
        <w:br w:type="page"/>
      </w:r>
    </w:p>
    <w:p w14:paraId="74813390" w14:textId="77777777" w:rsidR="00F64E7A" w:rsidRPr="007F03BF" w:rsidRDefault="00F64E7A" w:rsidP="000D019A">
      <w:pPr>
        <w:pStyle w:val="Ttulo1"/>
        <w:contextualSpacing/>
        <w:rPr>
          <w:rFonts w:ascii="Arial" w:hAnsi="Arial" w:cs="Arial"/>
          <w:b/>
          <w:color w:val="000000" w:themeColor="text1"/>
          <w:sz w:val="24"/>
          <w:szCs w:val="24"/>
        </w:rPr>
      </w:pPr>
      <w:bookmarkStart w:id="17" w:name="_Toc39683999"/>
      <w:r w:rsidRPr="007F03BF">
        <w:rPr>
          <w:rFonts w:ascii="Arial" w:hAnsi="Arial" w:cs="Arial"/>
          <w:b/>
          <w:color w:val="000000" w:themeColor="text1"/>
          <w:sz w:val="24"/>
          <w:szCs w:val="24"/>
        </w:rPr>
        <w:lastRenderedPageBreak/>
        <w:t>PODER EJECUTIVO – DEMARCACIONES TERRITORIALES</w:t>
      </w:r>
      <w:bookmarkEnd w:id="17"/>
    </w:p>
    <w:p w14:paraId="1BA417B2" w14:textId="77777777" w:rsidR="00F64E7A" w:rsidRPr="007F03BF" w:rsidRDefault="00F64E7A" w:rsidP="00F64E7A">
      <w:pPr>
        <w:contextualSpacing/>
        <w:rPr>
          <w:rFonts w:ascii="Arial" w:hAnsi="Arial" w:cs="Arial"/>
        </w:rPr>
      </w:pPr>
    </w:p>
    <w:p w14:paraId="012DCF3A" w14:textId="77777777" w:rsidR="00B541E6" w:rsidRPr="007F03BF" w:rsidRDefault="00B541E6" w:rsidP="00B541E6">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El ámbito del Poder Ejecutivo – Demarcaciones Territoriales (Alcaldías) está integrado por 16 sujetos obligados, de conformidad con el Padrón de sujetos obligados supeditados al cumplimiento de la Ley de Transparencia, Acceso a la Información Pública y Rendición de Cuentas de la Ciudad de México</w:t>
      </w:r>
      <w:r w:rsidRPr="007F03BF" w:rsidDel="005B5D1B">
        <w:rPr>
          <w:rFonts w:ascii="Arial" w:hAnsi="Arial" w:cs="Arial"/>
          <w:color w:val="000000" w:themeColor="text1"/>
        </w:rPr>
        <w:t xml:space="preserve"> </w:t>
      </w:r>
      <w:r w:rsidRPr="007F03BF">
        <w:rPr>
          <w:rFonts w:ascii="Arial" w:hAnsi="Arial" w:cs="Arial"/>
          <w:color w:val="000000" w:themeColor="text1"/>
        </w:rPr>
        <w:t xml:space="preserve">y de la Ley de Protección de Datos Personales en Posesión de los sujetos obligados de la Ciudad de México vigente. De los 16 sujetos obligados que integran el Padrón, 14 sujetos obligados se integraron al Padrón durante el primer semestre del año 2019 y fueron evaluados durante la Segunda Evaluación Vinculante 2019. </w:t>
      </w:r>
    </w:p>
    <w:p w14:paraId="55738317" w14:textId="77777777" w:rsidR="00B541E6" w:rsidRPr="007F03BF" w:rsidRDefault="00B541E6" w:rsidP="00B541E6">
      <w:pPr>
        <w:spacing w:before="100" w:beforeAutospacing="1" w:after="100" w:afterAutospacing="1" w:line="360" w:lineRule="auto"/>
        <w:contextualSpacing/>
        <w:jc w:val="both"/>
        <w:rPr>
          <w:rFonts w:ascii="Arial" w:hAnsi="Arial" w:cs="Arial"/>
          <w:color w:val="000000" w:themeColor="text1"/>
        </w:rPr>
      </w:pPr>
    </w:p>
    <w:p w14:paraId="4B78EAD7" w14:textId="67BA0F9A" w:rsidR="00B541E6" w:rsidRPr="007F03BF" w:rsidRDefault="00B541E6" w:rsidP="00B541E6">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De los 14 sujetos obligado</w:t>
      </w:r>
      <w:r w:rsidR="008B44D5" w:rsidRPr="007F03BF">
        <w:rPr>
          <w:rFonts w:ascii="Arial" w:hAnsi="Arial" w:cs="Arial"/>
          <w:color w:val="000000" w:themeColor="text1"/>
        </w:rPr>
        <w:t>s</w:t>
      </w:r>
      <w:r w:rsidRPr="007F03BF">
        <w:rPr>
          <w:rFonts w:ascii="Arial" w:hAnsi="Arial" w:cs="Arial"/>
          <w:color w:val="000000" w:themeColor="text1"/>
        </w:rPr>
        <w:t xml:space="preserve"> que fueron evaluados, </w:t>
      </w:r>
      <w:r w:rsidR="00443947" w:rsidRPr="007F03BF">
        <w:rPr>
          <w:rFonts w:ascii="Arial" w:hAnsi="Arial" w:cs="Arial"/>
          <w:color w:val="000000" w:themeColor="text1"/>
        </w:rPr>
        <w:t>3</w:t>
      </w:r>
      <w:r w:rsidRPr="007F03BF">
        <w:rPr>
          <w:rFonts w:ascii="Arial" w:hAnsi="Arial" w:cs="Arial"/>
          <w:color w:val="000000" w:themeColor="text1"/>
        </w:rPr>
        <w:t xml:space="preserve"> obtuvieron un cumplimiento total del piso mínimo contemplado en la Ley de Transparencia </w:t>
      </w:r>
      <w:r w:rsidR="00D47F3C" w:rsidRPr="007F03BF">
        <w:rPr>
          <w:rFonts w:ascii="Arial" w:hAnsi="Arial" w:cs="Arial"/>
          <w:color w:val="000000" w:themeColor="text1"/>
        </w:rPr>
        <w:t>local</w:t>
      </w:r>
      <w:r w:rsidRPr="007F03BF">
        <w:rPr>
          <w:rFonts w:ascii="Arial" w:hAnsi="Arial" w:cs="Arial"/>
          <w:color w:val="000000" w:themeColor="text1"/>
        </w:rPr>
        <w:t xml:space="preserve"> y 11 continúan presentando áreas de oportunidad con relación a la publicación y actualización de la información. </w:t>
      </w:r>
    </w:p>
    <w:p w14:paraId="78D6051B" w14:textId="77777777" w:rsidR="00B541E6" w:rsidRPr="007F03BF" w:rsidRDefault="00B541E6" w:rsidP="00B541E6">
      <w:pPr>
        <w:spacing w:before="100" w:beforeAutospacing="1" w:after="100" w:afterAutospacing="1" w:line="360" w:lineRule="auto"/>
        <w:contextualSpacing/>
        <w:jc w:val="both"/>
        <w:rPr>
          <w:rFonts w:ascii="Arial" w:hAnsi="Arial" w:cs="Arial"/>
          <w:color w:val="000000" w:themeColor="text1"/>
        </w:rPr>
      </w:pPr>
    </w:p>
    <w:p w14:paraId="458ED631" w14:textId="77777777" w:rsidR="00B541E6" w:rsidRPr="007F03BF" w:rsidRDefault="00B541E6" w:rsidP="00B541E6">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Los sujetos obligados, así como su Índice de Cumplimiento de obligaciones de transparencia del Portal de Internet (IGOT-PI), el de la Plataforma Nacional de Transparencia (IGOT-PNT) y el Índice General de Cumplimiento de obligaciones de transparencia (IGOT) se presentan en la siguiente tabla, ordenados de forma descendente, respecto del IGOT: </w:t>
      </w:r>
    </w:p>
    <w:p w14:paraId="13BBF989" w14:textId="77777777" w:rsidR="00F64E7A" w:rsidRPr="007F03BF" w:rsidRDefault="00F64E7A" w:rsidP="00F64E7A">
      <w:pPr>
        <w:spacing w:before="100" w:beforeAutospacing="1" w:after="100" w:afterAutospacing="1" w:line="360" w:lineRule="auto"/>
        <w:contextualSpacing/>
        <w:jc w:val="both"/>
        <w:rPr>
          <w:rFonts w:ascii="Arial" w:hAnsi="Arial" w:cs="Arial"/>
        </w:rPr>
      </w:pPr>
    </w:p>
    <w:tbl>
      <w:tblPr>
        <w:tblW w:w="8926" w:type="dxa"/>
        <w:tblCellMar>
          <w:left w:w="70" w:type="dxa"/>
          <w:right w:w="70" w:type="dxa"/>
        </w:tblCellMar>
        <w:tblLook w:val="04A0" w:firstRow="1" w:lastRow="0" w:firstColumn="1" w:lastColumn="0" w:noHBand="0" w:noVBand="1"/>
      </w:tblPr>
      <w:tblGrid>
        <w:gridCol w:w="529"/>
        <w:gridCol w:w="5136"/>
        <w:gridCol w:w="1123"/>
        <w:gridCol w:w="1263"/>
        <w:gridCol w:w="875"/>
      </w:tblGrid>
      <w:tr w:rsidR="00F64E7A" w:rsidRPr="007F03BF" w14:paraId="6FFA6234" w14:textId="77777777" w:rsidTr="008C4FD7">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2D60A72E" w14:textId="77777777" w:rsidR="00F64E7A" w:rsidRPr="007F03BF" w:rsidRDefault="00B541E6" w:rsidP="00D23BCA">
            <w:pPr>
              <w:jc w:val="center"/>
              <w:rPr>
                <w:rFonts w:ascii="Arial" w:hAnsi="Arial" w:cs="Arial"/>
                <w:b/>
                <w:bCs/>
                <w:color w:val="000000"/>
                <w:sz w:val="20"/>
                <w:szCs w:val="20"/>
              </w:rPr>
            </w:pPr>
            <w:r w:rsidRPr="007F03BF">
              <w:rPr>
                <w:rFonts w:ascii="Arial" w:hAnsi="Arial" w:cs="Arial"/>
                <w:b/>
                <w:bCs/>
                <w:color w:val="000000" w:themeColor="text1"/>
                <w:sz w:val="20"/>
                <w:szCs w:val="20"/>
              </w:rPr>
              <w:t>Resultados de la Primera Evaluación Vinculante 2020, respecto de las recomendaciones y observaciones de la Segunda Evaluación Vinculante 2019</w:t>
            </w:r>
          </w:p>
        </w:tc>
      </w:tr>
      <w:tr w:rsidR="00F64E7A" w:rsidRPr="007F03BF" w14:paraId="16EC1D83" w14:textId="77777777" w:rsidTr="008C4FD7">
        <w:trPr>
          <w:trHeight w:val="340"/>
          <w:tblHeader/>
        </w:trPr>
        <w:tc>
          <w:tcPr>
            <w:tcW w:w="529" w:type="dxa"/>
            <w:tcBorders>
              <w:top w:val="nil"/>
              <w:left w:val="single" w:sz="4" w:space="0" w:color="auto"/>
              <w:bottom w:val="single" w:sz="4" w:space="0" w:color="auto"/>
              <w:right w:val="single" w:sz="4" w:space="0" w:color="auto"/>
            </w:tcBorders>
            <w:shd w:val="clear" w:color="auto" w:fill="70AD47" w:themeFill="accent6"/>
            <w:vAlign w:val="center"/>
            <w:hideMark/>
          </w:tcPr>
          <w:p w14:paraId="73966491" w14:textId="77777777" w:rsidR="00F64E7A" w:rsidRPr="007F03BF" w:rsidRDefault="00F64E7A" w:rsidP="00D23BCA">
            <w:pPr>
              <w:jc w:val="center"/>
              <w:rPr>
                <w:rFonts w:ascii="Arial" w:hAnsi="Arial" w:cs="Arial"/>
                <w:b/>
                <w:bCs/>
                <w:color w:val="000000"/>
                <w:sz w:val="20"/>
                <w:szCs w:val="20"/>
              </w:rPr>
            </w:pPr>
            <w:r w:rsidRPr="007F03BF">
              <w:rPr>
                <w:rFonts w:ascii="Arial" w:hAnsi="Arial" w:cs="Arial"/>
                <w:b/>
                <w:bCs/>
                <w:color w:val="000000"/>
                <w:sz w:val="20"/>
                <w:szCs w:val="20"/>
              </w:rPr>
              <w:t>No.</w:t>
            </w:r>
          </w:p>
        </w:tc>
        <w:tc>
          <w:tcPr>
            <w:tcW w:w="5136" w:type="dxa"/>
            <w:tcBorders>
              <w:top w:val="nil"/>
              <w:left w:val="nil"/>
              <w:bottom w:val="single" w:sz="4" w:space="0" w:color="auto"/>
              <w:right w:val="single" w:sz="4" w:space="0" w:color="auto"/>
            </w:tcBorders>
            <w:shd w:val="clear" w:color="auto" w:fill="70AD47" w:themeFill="accent6"/>
            <w:vAlign w:val="center"/>
            <w:hideMark/>
          </w:tcPr>
          <w:p w14:paraId="6B9CFC4B" w14:textId="77777777" w:rsidR="00F64E7A" w:rsidRPr="007F03BF" w:rsidRDefault="00F64E7A" w:rsidP="00D23BCA">
            <w:pPr>
              <w:jc w:val="center"/>
              <w:rPr>
                <w:rFonts w:ascii="Arial" w:hAnsi="Arial" w:cs="Arial"/>
                <w:b/>
                <w:bCs/>
                <w:color w:val="000000"/>
                <w:sz w:val="20"/>
                <w:szCs w:val="20"/>
              </w:rPr>
            </w:pPr>
            <w:r w:rsidRPr="007F03BF">
              <w:rPr>
                <w:rFonts w:ascii="Arial" w:hAnsi="Arial" w:cs="Arial"/>
                <w:b/>
                <w:bCs/>
                <w:color w:val="000000"/>
                <w:sz w:val="20"/>
                <w:szCs w:val="20"/>
              </w:rPr>
              <w:t>Sujeto obligado</w:t>
            </w:r>
          </w:p>
        </w:tc>
        <w:tc>
          <w:tcPr>
            <w:tcW w:w="1123" w:type="dxa"/>
            <w:tcBorders>
              <w:top w:val="nil"/>
              <w:left w:val="nil"/>
              <w:bottom w:val="single" w:sz="4" w:space="0" w:color="auto"/>
              <w:right w:val="single" w:sz="4" w:space="0" w:color="auto"/>
            </w:tcBorders>
            <w:shd w:val="clear" w:color="auto" w:fill="70AD47" w:themeFill="accent6"/>
            <w:vAlign w:val="center"/>
            <w:hideMark/>
          </w:tcPr>
          <w:p w14:paraId="0087BF90" w14:textId="77777777" w:rsidR="00F64E7A" w:rsidRPr="007F03BF" w:rsidRDefault="00F64E7A" w:rsidP="00D23BCA">
            <w:pPr>
              <w:jc w:val="center"/>
              <w:rPr>
                <w:rFonts w:ascii="Arial" w:hAnsi="Arial" w:cs="Arial"/>
                <w:b/>
                <w:bCs/>
                <w:color w:val="000000"/>
                <w:sz w:val="20"/>
                <w:szCs w:val="20"/>
              </w:rPr>
            </w:pPr>
            <w:r w:rsidRPr="007F03BF">
              <w:rPr>
                <w:rFonts w:ascii="Arial" w:hAnsi="Arial" w:cs="Arial"/>
                <w:b/>
                <w:bCs/>
                <w:color w:val="000000"/>
                <w:sz w:val="20"/>
                <w:szCs w:val="20"/>
              </w:rPr>
              <w:t>ICOT-PI</w:t>
            </w:r>
          </w:p>
        </w:tc>
        <w:tc>
          <w:tcPr>
            <w:tcW w:w="1263" w:type="dxa"/>
            <w:tcBorders>
              <w:top w:val="nil"/>
              <w:left w:val="nil"/>
              <w:bottom w:val="single" w:sz="4" w:space="0" w:color="auto"/>
              <w:right w:val="single" w:sz="4" w:space="0" w:color="auto"/>
            </w:tcBorders>
            <w:shd w:val="clear" w:color="auto" w:fill="70AD47" w:themeFill="accent6"/>
            <w:vAlign w:val="center"/>
            <w:hideMark/>
          </w:tcPr>
          <w:p w14:paraId="72CCA398" w14:textId="77777777" w:rsidR="00F64E7A" w:rsidRPr="007F03BF" w:rsidRDefault="00F64E7A" w:rsidP="00D23BCA">
            <w:pPr>
              <w:jc w:val="center"/>
              <w:rPr>
                <w:rFonts w:ascii="Arial" w:hAnsi="Arial" w:cs="Arial"/>
                <w:b/>
                <w:bCs/>
                <w:color w:val="000000"/>
                <w:sz w:val="20"/>
                <w:szCs w:val="20"/>
              </w:rPr>
            </w:pPr>
            <w:r w:rsidRPr="007F03BF">
              <w:rPr>
                <w:rFonts w:ascii="Arial" w:hAnsi="Arial" w:cs="Arial"/>
                <w:b/>
                <w:bCs/>
                <w:color w:val="000000"/>
                <w:sz w:val="20"/>
                <w:szCs w:val="20"/>
              </w:rPr>
              <w:t>ICOT-PNT</w:t>
            </w:r>
          </w:p>
        </w:tc>
        <w:tc>
          <w:tcPr>
            <w:tcW w:w="875" w:type="dxa"/>
            <w:tcBorders>
              <w:top w:val="nil"/>
              <w:left w:val="nil"/>
              <w:bottom w:val="single" w:sz="4" w:space="0" w:color="auto"/>
              <w:right w:val="single" w:sz="4" w:space="0" w:color="auto"/>
            </w:tcBorders>
            <w:shd w:val="clear" w:color="auto" w:fill="70AD47" w:themeFill="accent6"/>
            <w:vAlign w:val="center"/>
            <w:hideMark/>
          </w:tcPr>
          <w:p w14:paraId="2FACE579" w14:textId="77777777" w:rsidR="00F64E7A" w:rsidRPr="007F03BF" w:rsidRDefault="00F64E7A" w:rsidP="00D23BCA">
            <w:pPr>
              <w:jc w:val="center"/>
              <w:rPr>
                <w:rFonts w:ascii="Arial" w:hAnsi="Arial" w:cs="Arial"/>
                <w:b/>
                <w:bCs/>
                <w:color w:val="000000"/>
                <w:sz w:val="20"/>
                <w:szCs w:val="20"/>
              </w:rPr>
            </w:pPr>
            <w:r w:rsidRPr="007F03BF">
              <w:rPr>
                <w:rFonts w:ascii="Arial" w:hAnsi="Arial" w:cs="Arial"/>
                <w:b/>
                <w:bCs/>
                <w:color w:val="000000"/>
                <w:sz w:val="20"/>
                <w:szCs w:val="20"/>
              </w:rPr>
              <w:t>IGOT</w:t>
            </w:r>
          </w:p>
        </w:tc>
      </w:tr>
      <w:tr w:rsidR="00B541E6" w:rsidRPr="007F03BF" w14:paraId="120858DD"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7B34FA29"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w:t>
            </w:r>
          </w:p>
        </w:tc>
        <w:tc>
          <w:tcPr>
            <w:tcW w:w="5136" w:type="dxa"/>
            <w:tcBorders>
              <w:top w:val="nil"/>
              <w:left w:val="nil"/>
              <w:bottom w:val="single" w:sz="4" w:space="0" w:color="auto"/>
              <w:right w:val="single" w:sz="4" w:space="0" w:color="auto"/>
            </w:tcBorders>
            <w:shd w:val="clear" w:color="auto" w:fill="auto"/>
            <w:vAlign w:val="center"/>
            <w:hideMark/>
          </w:tcPr>
          <w:p w14:paraId="3A6DF35A"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Cuauhtémoc.</w:t>
            </w:r>
          </w:p>
        </w:tc>
        <w:tc>
          <w:tcPr>
            <w:tcW w:w="1123" w:type="dxa"/>
            <w:tcBorders>
              <w:top w:val="nil"/>
              <w:left w:val="nil"/>
              <w:bottom w:val="single" w:sz="4" w:space="0" w:color="auto"/>
              <w:right w:val="single" w:sz="4" w:space="0" w:color="auto"/>
            </w:tcBorders>
            <w:shd w:val="clear" w:color="auto" w:fill="auto"/>
            <w:vAlign w:val="center"/>
            <w:hideMark/>
          </w:tcPr>
          <w:p w14:paraId="271D924C"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14:paraId="348235D7"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14:paraId="025856D8"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100.00</w:t>
            </w:r>
          </w:p>
        </w:tc>
      </w:tr>
      <w:tr w:rsidR="00B541E6" w:rsidRPr="007F03BF" w14:paraId="39DBEF69"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6545D932"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2</w:t>
            </w:r>
          </w:p>
        </w:tc>
        <w:tc>
          <w:tcPr>
            <w:tcW w:w="5136" w:type="dxa"/>
            <w:tcBorders>
              <w:top w:val="nil"/>
              <w:left w:val="nil"/>
              <w:bottom w:val="single" w:sz="4" w:space="0" w:color="auto"/>
              <w:right w:val="single" w:sz="4" w:space="0" w:color="auto"/>
            </w:tcBorders>
            <w:shd w:val="clear" w:color="auto" w:fill="auto"/>
            <w:vAlign w:val="center"/>
            <w:hideMark/>
          </w:tcPr>
          <w:p w14:paraId="43AA4BE0"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Tláhuac.</w:t>
            </w:r>
          </w:p>
        </w:tc>
        <w:tc>
          <w:tcPr>
            <w:tcW w:w="1123" w:type="dxa"/>
            <w:tcBorders>
              <w:top w:val="nil"/>
              <w:left w:val="nil"/>
              <w:bottom w:val="single" w:sz="4" w:space="0" w:color="auto"/>
              <w:right w:val="single" w:sz="4" w:space="0" w:color="auto"/>
            </w:tcBorders>
            <w:shd w:val="clear" w:color="auto" w:fill="auto"/>
            <w:vAlign w:val="center"/>
            <w:hideMark/>
          </w:tcPr>
          <w:p w14:paraId="772D9BC0"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14:paraId="2BBD0A9D"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14:paraId="0E4CF83D"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100.00</w:t>
            </w:r>
          </w:p>
        </w:tc>
      </w:tr>
      <w:tr w:rsidR="00B541E6" w:rsidRPr="007F03BF" w14:paraId="77729EB2"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457C7246"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3</w:t>
            </w:r>
          </w:p>
        </w:tc>
        <w:tc>
          <w:tcPr>
            <w:tcW w:w="5136" w:type="dxa"/>
            <w:tcBorders>
              <w:top w:val="nil"/>
              <w:left w:val="nil"/>
              <w:bottom w:val="single" w:sz="4" w:space="0" w:color="auto"/>
              <w:right w:val="single" w:sz="4" w:space="0" w:color="auto"/>
            </w:tcBorders>
            <w:shd w:val="clear" w:color="auto" w:fill="auto"/>
            <w:vAlign w:val="center"/>
            <w:hideMark/>
          </w:tcPr>
          <w:p w14:paraId="5238CD2E"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Venustiano Carranza.</w:t>
            </w:r>
          </w:p>
        </w:tc>
        <w:tc>
          <w:tcPr>
            <w:tcW w:w="1123" w:type="dxa"/>
            <w:tcBorders>
              <w:top w:val="nil"/>
              <w:left w:val="nil"/>
              <w:bottom w:val="single" w:sz="4" w:space="0" w:color="auto"/>
              <w:right w:val="single" w:sz="4" w:space="0" w:color="auto"/>
            </w:tcBorders>
            <w:shd w:val="clear" w:color="auto" w:fill="auto"/>
            <w:vAlign w:val="center"/>
            <w:hideMark/>
          </w:tcPr>
          <w:p w14:paraId="6824512C"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100.00</w:t>
            </w:r>
          </w:p>
        </w:tc>
        <w:tc>
          <w:tcPr>
            <w:tcW w:w="1263" w:type="dxa"/>
            <w:tcBorders>
              <w:top w:val="nil"/>
              <w:left w:val="nil"/>
              <w:bottom w:val="single" w:sz="4" w:space="0" w:color="auto"/>
              <w:right w:val="single" w:sz="4" w:space="0" w:color="auto"/>
            </w:tcBorders>
            <w:shd w:val="clear" w:color="auto" w:fill="auto"/>
            <w:vAlign w:val="center"/>
            <w:hideMark/>
          </w:tcPr>
          <w:p w14:paraId="544B01AA"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14:paraId="5C8BBA30"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100.00</w:t>
            </w:r>
          </w:p>
        </w:tc>
      </w:tr>
      <w:tr w:rsidR="00B541E6" w:rsidRPr="007F03BF" w14:paraId="274D2AEB"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033F1C03"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lastRenderedPageBreak/>
              <w:t>4</w:t>
            </w:r>
          </w:p>
        </w:tc>
        <w:tc>
          <w:tcPr>
            <w:tcW w:w="5136" w:type="dxa"/>
            <w:tcBorders>
              <w:top w:val="nil"/>
              <w:left w:val="nil"/>
              <w:bottom w:val="single" w:sz="4" w:space="0" w:color="auto"/>
              <w:right w:val="single" w:sz="4" w:space="0" w:color="auto"/>
            </w:tcBorders>
            <w:shd w:val="clear" w:color="auto" w:fill="auto"/>
            <w:vAlign w:val="center"/>
            <w:hideMark/>
          </w:tcPr>
          <w:p w14:paraId="2722509F"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Iztapalapa.</w:t>
            </w:r>
          </w:p>
        </w:tc>
        <w:tc>
          <w:tcPr>
            <w:tcW w:w="1123" w:type="dxa"/>
            <w:tcBorders>
              <w:top w:val="nil"/>
              <w:left w:val="nil"/>
              <w:bottom w:val="single" w:sz="4" w:space="0" w:color="auto"/>
              <w:right w:val="single" w:sz="4" w:space="0" w:color="auto"/>
            </w:tcBorders>
            <w:shd w:val="clear" w:color="auto" w:fill="auto"/>
            <w:vAlign w:val="center"/>
            <w:hideMark/>
          </w:tcPr>
          <w:p w14:paraId="6A7B99B6"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99.89</w:t>
            </w:r>
          </w:p>
        </w:tc>
        <w:tc>
          <w:tcPr>
            <w:tcW w:w="1263" w:type="dxa"/>
            <w:tcBorders>
              <w:top w:val="nil"/>
              <w:left w:val="nil"/>
              <w:bottom w:val="single" w:sz="4" w:space="0" w:color="auto"/>
              <w:right w:val="single" w:sz="4" w:space="0" w:color="auto"/>
            </w:tcBorders>
            <w:shd w:val="clear" w:color="auto" w:fill="auto"/>
            <w:vAlign w:val="center"/>
            <w:hideMark/>
          </w:tcPr>
          <w:p w14:paraId="22C4C392"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100.00</w:t>
            </w:r>
          </w:p>
        </w:tc>
        <w:tc>
          <w:tcPr>
            <w:tcW w:w="875" w:type="dxa"/>
            <w:tcBorders>
              <w:top w:val="nil"/>
              <w:left w:val="nil"/>
              <w:bottom w:val="single" w:sz="4" w:space="0" w:color="auto"/>
              <w:right w:val="single" w:sz="4" w:space="0" w:color="auto"/>
            </w:tcBorders>
            <w:shd w:val="clear" w:color="auto" w:fill="auto"/>
            <w:vAlign w:val="center"/>
            <w:hideMark/>
          </w:tcPr>
          <w:p w14:paraId="718F7374"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99.95</w:t>
            </w:r>
          </w:p>
        </w:tc>
      </w:tr>
      <w:tr w:rsidR="00B541E6" w:rsidRPr="007F03BF" w14:paraId="675F5515"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567443EC"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5</w:t>
            </w:r>
          </w:p>
        </w:tc>
        <w:tc>
          <w:tcPr>
            <w:tcW w:w="5136" w:type="dxa"/>
            <w:tcBorders>
              <w:top w:val="nil"/>
              <w:left w:val="nil"/>
              <w:bottom w:val="single" w:sz="4" w:space="0" w:color="auto"/>
              <w:right w:val="single" w:sz="4" w:space="0" w:color="auto"/>
            </w:tcBorders>
            <w:shd w:val="clear" w:color="auto" w:fill="auto"/>
            <w:vAlign w:val="center"/>
            <w:hideMark/>
          </w:tcPr>
          <w:p w14:paraId="455EAAAC"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Álvaro Obregón.</w:t>
            </w:r>
          </w:p>
        </w:tc>
        <w:tc>
          <w:tcPr>
            <w:tcW w:w="1123" w:type="dxa"/>
            <w:tcBorders>
              <w:top w:val="nil"/>
              <w:left w:val="nil"/>
              <w:bottom w:val="single" w:sz="4" w:space="0" w:color="auto"/>
              <w:right w:val="single" w:sz="4" w:space="0" w:color="auto"/>
            </w:tcBorders>
            <w:shd w:val="clear" w:color="auto" w:fill="auto"/>
            <w:vAlign w:val="center"/>
            <w:hideMark/>
          </w:tcPr>
          <w:p w14:paraId="5BC65E93"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97.82</w:t>
            </w:r>
          </w:p>
        </w:tc>
        <w:tc>
          <w:tcPr>
            <w:tcW w:w="1263" w:type="dxa"/>
            <w:tcBorders>
              <w:top w:val="nil"/>
              <w:left w:val="nil"/>
              <w:bottom w:val="single" w:sz="4" w:space="0" w:color="auto"/>
              <w:right w:val="single" w:sz="4" w:space="0" w:color="auto"/>
            </w:tcBorders>
            <w:shd w:val="clear" w:color="auto" w:fill="auto"/>
            <w:vAlign w:val="center"/>
            <w:hideMark/>
          </w:tcPr>
          <w:p w14:paraId="6427224A"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98.68</w:t>
            </w:r>
          </w:p>
        </w:tc>
        <w:tc>
          <w:tcPr>
            <w:tcW w:w="875" w:type="dxa"/>
            <w:tcBorders>
              <w:top w:val="nil"/>
              <w:left w:val="nil"/>
              <w:bottom w:val="single" w:sz="4" w:space="0" w:color="auto"/>
              <w:right w:val="single" w:sz="4" w:space="0" w:color="auto"/>
            </w:tcBorders>
            <w:shd w:val="clear" w:color="auto" w:fill="auto"/>
            <w:vAlign w:val="center"/>
            <w:hideMark/>
          </w:tcPr>
          <w:p w14:paraId="4C5B5882"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98.25</w:t>
            </w:r>
          </w:p>
        </w:tc>
      </w:tr>
      <w:tr w:rsidR="00B541E6" w:rsidRPr="007F03BF" w14:paraId="3A40BAE6"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4F4FE902"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6</w:t>
            </w:r>
          </w:p>
        </w:tc>
        <w:tc>
          <w:tcPr>
            <w:tcW w:w="5136" w:type="dxa"/>
            <w:tcBorders>
              <w:top w:val="nil"/>
              <w:left w:val="nil"/>
              <w:bottom w:val="single" w:sz="4" w:space="0" w:color="auto"/>
              <w:right w:val="single" w:sz="4" w:space="0" w:color="auto"/>
            </w:tcBorders>
            <w:shd w:val="clear" w:color="auto" w:fill="auto"/>
            <w:vAlign w:val="center"/>
            <w:hideMark/>
          </w:tcPr>
          <w:p w14:paraId="47AADE86"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Azcapotzalco.</w:t>
            </w:r>
          </w:p>
        </w:tc>
        <w:tc>
          <w:tcPr>
            <w:tcW w:w="1123" w:type="dxa"/>
            <w:tcBorders>
              <w:top w:val="nil"/>
              <w:left w:val="nil"/>
              <w:bottom w:val="single" w:sz="4" w:space="0" w:color="auto"/>
              <w:right w:val="single" w:sz="4" w:space="0" w:color="auto"/>
            </w:tcBorders>
            <w:shd w:val="clear" w:color="auto" w:fill="auto"/>
            <w:vAlign w:val="center"/>
            <w:hideMark/>
          </w:tcPr>
          <w:p w14:paraId="01278AA2"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97.80</w:t>
            </w:r>
          </w:p>
        </w:tc>
        <w:tc>
          <w:tcPr>
            <w:tcW w:w="1263" w:type="dxa"/>
            <w:tcBorders>
              <w:top w:val="nil"/>
              <w:left w:val="nil"/>
              <w:bottom w:val="single" w:sz="4" w:space="0" w:color="auto"/>
              <w:right w:val="single" w:sz="4" w:space="0" w:color="auto"/>
            </w:tcBorders>
            <w:shd w:val="clear" w:color="auto" w:fill="auto"/>
            <w:vAlign w:val="center"/>
            <w:hideMark/>
          </w:tcPr>
          <w:p w14:paraId="64FE150F"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97.80</w:t>
            </w:r>
          </w:p>
        </w:tc>
        <w:tc>
          <w:tcPr>
            <w:tcW w:w="875" w:type="dxa"/>
            <w:tcBorders>
              <w:top w:val="nil"/>
              <w:left w:val="nil"/>
              <w:bottom w:val="single" w:sz="4" w:space="0" w:color="auto"/>
              <w:right w:val="single" w:sz="4" w:space="0" w:color="auto"/>
            </w:tcBorders>
            <w:shd w:val="clear" w:color="auto" w:fill="auto"/>
            <w:vAlign w:val="center"/>
            <w:hideMark/>
          </w:tcPr>
          <w:p w14:paraId="027AC0BD"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97.80</w:t>
            </w:r>
          </w:p>
        </w:tc>
      </w:tr>
      <w:tr w:rsidR="00B541E6" w:rsidRPr="007F03BF" w14:paraId="260B80C7"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604ED1C9"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7</w:t>
            </w:r>
          </w:p>
        </w:tc>
        <w:tc>
          <w:tcPr>
            <w:tcW w:w="5136" w:type="dxa"/>
            <w:tcBorders>
              <w:top w:val="nil"/>
              <w:left w:val="nil"/>
              <w:bottom w:val="single" w:sz="4" w:space="0" w:color="auto"/>
              <w:right w:val="single" w:sz="4" w:space="0" w:color="auto"/>
            </w:tcBorders>
            <w:shd w:val="clear" w:color="auto" w:fill="auto"/>
            <w:vAlign w:val="center"/>
            <w:hideMark/>
          </w:tcPr>
          <w:p w14:paraId="4AD300C2"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Tlalpan.</w:t>
            </w:r>
          </w:p>
        </w:tc>
        <w:tc>
          <w:tcPr>
            <w:tcW w:w="1123" w:type="dxa"/>
            <w:tcBorders>
              <w:top w:val="nil"/>
              <w:left w:val="nil"/>
              <w:bottom w:val="single" w:sz="4" w:space="0" w:color="auto"/>
              <w:right w:val="single" w:sz="4" w:space="0" w:color="auto"/>
            </w:tcBorders>
            <w:shd w:val="clear" w:color="auto" w:fill="auto"/>
            <w:vAlign w:val="center"/>
            <w:hideMark/>
          </w:tcPr>
          <w:p w14:paraId="1BD0EC2B"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98.18</w:t>
            </w:r>
          </w:p>
        </w:tc>
        <w:tc>
          <w:tcPr>
            <w:tcW w:w="1263" w:type="dxa"/>
            <w:tcBorders>
              <w:top w:val="nil"/>
              <w:left w:val="nil"/>
              <w:bottom w:val="single" w:sz="4" w:space="0" w:color="auto"/>
              <w:right w:val="single" w:sz="4" w:space="0" w:color="auto"/>
            </w:tcBorders>
            <w:shd w:val="clear" w:color="auto" w:fill="auto"/>
            <w:vAlign w:val="center"/>
            <w:hideMark/>
          </w:tcPr>
          <w:p w14:paraId="3900F15B"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97.11</w:t>
            </w:r>
          </w:p>
        </w:tc>
        <w:tc>
          <w:tcPr>
            <w:tcW w:w="875" w:type="dxa"/>
            <w:tcBorders>
              <w:top w:val="nil"/>
              <w:left w:val="nil"/>
              <w:bottom w:val="single" w:sz="4" w:space="0" w:color="auto"/>
              <w:right w:val="single" w:sz="4" w:space="0" w:color="auto"/>
            </w:tcBorders>
            <w:shd w:val="clear" w:color="auto" w:fill="auto"/>
            <w:vAlign w:val="center"/>
            <w:hideMark/>
          </w:tcPr>
          <w:p w14:paraId="743811B0"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97.65</w:t>
            </w:r>
          </w:p>
        </w:tc>
      </w:tr>
      <w:tr w:rsidR="00B541E6" w:rsidRPr="007F03BF" w14:paraId="05C1BD18"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2258253E"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8</w:t>
            </w:r>
          </w:p>
        </w:tc>
        <w:tc>
          <w:tcPr>
            <w:tcW w:w="5136" w:type="dxa"/>
            <w:tcBorders>
              <w:top w:val="nil"/>
              <w:left w:val="nil"/>
              <w:bottom w:val="single" w:sz="4" w:space="0" w:color="auto"/>
              <w:right w:val="single" w:sz="4" w:space="0" w:color="auto"/>
            </w:tcBorders>
            <w:shd w:val="clear" w:color="auto" w:fill="auto"/>
            <w:vAlign w:val="center"/>
            <w:hideMark/>
          </w:tcPr>
          <w:p w14:paraId="2A9971EC"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Benito Juárez.</w:t>
            </w:r>
          </w:p>
        </w:tc>
        <w:tc>
          <w:tcPr>
            <w:tcW w:w="1123" w:type="dxa"/>
            <w:tcBorders>
              <w:top w:val="nil"/>
              <w:left w:val="nil"/>
              <w:bottom w:val="single" w:sz="4" w:space="0" w:color="auto"/>
              <w:right w:val="single" w:sz="4" w:space="0" w:color="auto"/>
            </w:tcBorders>
            <w:shd w:val="clear" w:color="auto" w:fill="auto"/>
            <w:vAlign w:val="center"/>
            <w:hideMark/>
          </w:tcPr>
          <w:p w14:paraId="5BB43FA0"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96.51</w:t>
            </w:r>
          </w:p>
        </w:tc>
        <w:tc>
          <w:tcPr>
            <w:tcW w:w="1263" w:type="dxa"/>
            <w:tcBorders>
              <w:top w:val="nil"/>
              <w:left w:val="nil"/>
              <w:bottom w:val="single" w:sz="4" w:space="0" w:color="auto"/>
              <w:right w:val="single" w:sz="4" w:space="0" w:color="auto"/>
            </w:tcBorders>
            <w:shd w:val="clear" w:color="auto" w:fill="auto"/>
            <w:vAlign w:val="center"/>
            <w:hideMark/>
          </w:tcPr>
          <w:p w14:paraId="2CF9D59C"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97.44</w:t>
            </w:r>
          </w:p>
        </w:tc>
        <w:tc>
          <w:tcPr>
            <w:tcW w:w="875" w:type="dxa"/>
            <w:tcBorders>
              <w:top w:val="nil"/>
              <w:left w:val="nil"/>
              <w:bottom w:val="single" w:sz="4" w:space="0" w:color="auto"/>
              <w:right w:val="single" w:sz="4" w:space="0" w:color="auto"/>
            </w:tcBorders>
            <w:shd w:val="clear" w:color="auto" w:fill="auto"/>
            <w:vAlign w:val="center"/>
            <w:hideMark/>
          </w:tcPr>
          <w:p w14:paraId="07849E83"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96.98</w:t>
            </w:r>
          </w:p>
        </w:tc>
      </w:tr>
      <w:tr w:rsidR="00B541E6" w:rsidRPr="007F03BF" w14:paraId="5AC16126"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747FE95A"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w:t>
            </w:r>
          </w:p>
        </w:tc>
        <w:tc>
          <w:tcPr>
            <w:tcW w:w="5136" w:type="dxa"/>
            <w:tcBorders>
              <w:top w:val="nil"/>
              <w:left w:val="nil"/>
              <w:bottom w:val="single" w:sz="4" w:space="0" w:color="auto"/>
              <w:right w:val="single" w:sz="4" w:space="0" w:color="auto"/>
            </w:tcBorders>
            <w:shd w:val="clear" w:color="auto" w:fill="auto"/>
            <w:vAlign w:val="center"/>
            <w:hideMark/>
          </w:tcPr>
          <w:p w14:paraId="6A282544"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Milpa Alta.</w:t>
            </w:r>
          </w:p>
        </w:tc>
        <w:tc>
          <w:tcPr>
            <w:tcW w:w="1123" w:type="dxa"/>
            <w:tcBorders>
              <w:top w:val="nil"/>
              <w:left w:val="nil"/>
              <w:bottom w:val="single" w:sz="4" w:space="0" w:color="auto"/>
              <w:right w:val="single" w:sz="4" w:space="0" w:color="auto"/>
            </w:tcBorders>
            <w:shd w:val="clear" w:color="auto" w:fill="auto"/>
            <w:vAlign w:val="center"/>
            <w:hideMark/>
          </w:tcPr>
          <w:p w14:paraId="212AA069"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93.21</w:t>
            </w:r>
          </w:p>
        </w:tc>
        <w:tc>
          <w:tcPr>
            <w:tcW w:w="1263" w:type="dxa"/>
            <w:tcBorders>
              <w:top w:val="nil"/>
              <w:left w:val="nil"/>
              <w:bottom w:val="single" w:sz="4" w:space="0" w:color="auto"/>
              <w:right w:val="single" w:sz="4" w:space="0" w:color="auto"/>
            </w:tcBorders>
            <w:shd w:val="clear" w:color="auto" w:fill="auto"/>
            <w:vAlign w:val="center"/>
            <w:hideMark/>
          </w:tcPr>
          <w:p w14:paraId="7B589589"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93.95</w:t>
            </w:r>
          </w:p>
        </w:tc>
        <w:tc>
          <w:tcPr>
            <w:tcW w:w="875" w:type="dxa"/>
            <w:tcBorders>
              <w:top w:val="nil"/>
              <w:left w:val="nil"/>
              <w:bottom w:val="single" w:sz="4" w:space="0" w:color="auto"/>
              <w:right w:val="single" w:sz="4" w:space="0" w:color="auto"/>
            </w:tcBorders>
            <w:shd w:val="clear" w:color="auto" w:fill="auto"/>
            <w:vAlign w:val="center"/>
            <w:hideMark/>
          </w:tcPr>
          <w:p w14:paraId="106DAE38"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93.58</w:t>
            </w:r>
          </w:p>
        </w:tc>
      </w:tr>
      <w:tr w:rsidR="00B541E6" w:rsidRPr="007F03BF" w14:paraId="68F4C98C"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47B8E198"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10</w:t>
            </w:r>
          </w:p>
        </w:tc>
        <w:tc>
          <w:tcPr>
            <w:tcW w:w="5136" w:type="dxa"/>
            <w:tcBorders>
              <w:top w:val="nil"/>
              <w:left w:val="nil"/>
              <w:bottom w:val="single" w:sz="4" w:space="0" w:color="auto"/>
              <w:right w:val="single" w:sz="4" w:space="0" w:color="auto"/>
            </w:tcBorders>
            <w:shd w:val="clear" w:color="auto" w:fill="auto"/>
            <w:vAlign w:val="center"/>
            <w:hideMark/>
          </w:tcPr>
          <w:p w14:paraId="1AB3688D"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Gustavo A. Madero.</w:t>
            </w:r>
          </w:p>
        </w:tc>
        <w:tc>
          <w:tcPr>
            <w:tcW w:w="1123" w:type="dxa"/>
            <w:tcBorders>
              <w:top w:val="nil"/>
              <w:left w:val="nil"/>
              <w:bottom w:val="single" w:sz="4" w:space="0" w:color="auto"/>
              <w:right w:val="single" w:sz="4" w:space="0" w:color="auto"/>
            </w:tcBorders>
            <w:shd w:val="clear" w:color="auto" w:fill="auto"/>
            <w:vAlign w:val="center"/>
            <w:hideMark/>
          </w:tcPr>
          <w:p w14:paraId="6FBEA503"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92.44</w:t>
            </w:r>
          </w:p>
        </w:tc>
        <w:tc>
          <w:tcPr>
            <w:tcW w:w="1263" w:type="dxa"/>
            <w:tcBorders>
              <w:top w:val="nil"/>
              <w:left w:val="nil"/>
              <w:bottom w:val="single" w:sz="4" w:space="0" w:color="auto"/>
              <w:right w:val="single" w:sz="4" w:space="0" w:color="auto"/>
            </w:tcBorders>
            <w:shd w:val="clear" w:color="auto" w:fill="auto"/>
            <w:vAlign w:val="center"/>
            <w:hideMark/>
          </w:tcPr>
          <w:p w14:paraId="7FCD6257"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93.87</w:t>
            </w:r>
          </w:p>
        </w:tc>
        <w:tc>
          <w:tcPr>
            <w:tcW w:w="875" w:type="dxa"/>
            <w:tcBorders>
              <w:top w:val="nil"/>
              <w:left w:val="nil"/>
              <w:bottom w:val="single" w:sz="4" w:space="0" w:color="auto"/>
              <w:right w:val="single" w:sz="4" w:space="0" w:color="auto"/>
            </w:tcBorders>
            <w:shd w:val="clear" w:color="auto" w:fill="auto"/>
            <w:vAlign w:val="center"/>
            <w:hideMark/>
          </w:tcPr>
          <w:p w14:paraId="0542A65C"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93.16</w:t>
            </w:r>
          </w:p>
        </w:tc>
      </w:tr>
      <w:tr w:rsidR="00B541E6" w:rsidRPr="007F03BF" w14:paraId="5A9E35ED"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11E4ED8F"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11</w:t>
            </w:r>
          </w:p>
        </w:tc>
        <w:tc>
          <w:tcPr>
            <w:tcW w:w="5136" w:type="dxa"/>
            <w:tcBorders>
              <w:top w:val="nil"/>
              <w:left w:val="nil"/>
              <w:bottom w:val="single" w:sz="4" w:space="0" w:color="auto"/>
              <w:right w:val="single" w:sz="4" w:space="0" w:color="auto"/>
            </w:tcBorders>
            <w:shd w:val="clear" w:color="auto" w:fill="auto"/>
            <w:vAlign w:val="center"/>
            <w:hideMark/>
          </w:tcPr>
          <w:p w14:paraId="167A376E"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Xochimilco.</w:t>
            </w:r>
          </w:p>
        </w:tc>
        <w:tc>
          <w:tcPr>
            <w:tcW w:w="1123" w:type="dxa"/>
            <w:tcBorders>
              <w:top w:val="nil"/>
              <w:left w:val="nil"/>
              <w:bottom w:val="single" w:sz="4" w:space="0" w:color="auto"/>
              <w:right w:val="single" w:sz="4" w:space="0" w:color="auto"/>
            </w:tcBorders>
            <w:shd w:val="clear" w:color="auto" w:fill="auto"/>
            <w:vAlign w:val="center"/>
            <w:hideMark/>
          </w:tcPr>
          <w:p w14:paraId="69AD3E71"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89.15</w:t>
            </w:r>
          </w:p>
        </w:tc>
        <w:tc>
          <w:tcPr>
            <w:tcW w:w="1263" w:type="dxa"/>
            <w:tcBorders>
              <w:top w:val="nil"/>
              <w:left w:val="nil"/>
              <w:bottom w:val="single" w:sz="4" w:space="0" w:color="auto"/>
              <w:right w:val="single" w:sz="4" w:space="0" w:color="auto"/>
            </w:tcBorders>
            <w:shd w:val="clear" w:color="auto" w:fill="auto"/>
            <w:vAlign w:val="center"/>
            <w:hideMark/>
          </w:tcPr>
          <w:p w14:paraId="364159D5"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95.32</w:t>
            </w:r>
          </w:p>
        </w:tc>
        <w:tc>
          <w:tcPr>
            <w:tcW w:w="875" w:type="dxa"/>
            <w:tcBorders>
              <w:top w:val="nil"/>
              <w:left w:val="nil"/>
              <w:bottom w:val="single" w:sz="4" w:space="0" w:color="auto"/>
              <w:right w:val="single" w:sz="4" w:space="0" w:color="auto"/>
            </w:tcBorders>
            <w:shd w:val="clear" w:color="auto" w:fill="auto"/>
            <w:vAlign w:val="center"/>
            <w:hideMark/>
          </w:tcPr>
          <w:p w14:paraId="041FFF9F"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92.24</w:t>
            </w:r>
          </w:p>
        </w:tc>
      </w:tr>
      <w:tr w:rsidR="00B541E6" w:rsidRPr="007F03BF" w14:paraId="545DCCBB"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0287A3A9"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12</w:t>
            </w:r>
          </w:p>
        </w:tc>
        <w:tc>
          <w:tcPr>
            <w:tcW w:w="5136" w:type="dxa"/>
            <w:tcBorders>
              <w:top w:val="nil"/>
              <w:left w:val="nil"/>
              <w:bottom w:val="single" w:sz="4" w:space="0" w:color="auto"/>
              <w:right w:val="single" w:sz="4" w:space="0" w:color="auto"/>
            </w:tcBorders>
            <w:shd w:val="clear" w:color="auto" w:fill="auto"/>
            <w:vAlign w:val="center"/>
            <w:hideMark/>
          </w:tcPr>
          <w:p w14:paraId="289E46B7"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Iztacalco.</w:t>
            </w:r>
          </w:p>
        </w:tc>
        <w:tc>
          <w:tcPr>
            <w:tcW w:w="1123" w:type="dxa"/>
            <w:tcBorders>
              <w:top w:val="nil"/>
              <w:left w:val="nil"/>
              <w:bottom w:val="single" w:sz="4" w:space="0" w:color="auto"/>
              <w:right w:val="single" w:sz="4" w:space="0" w:color="auto"/>
            </w:tcBorders>
            <w:shd w:val="clear" w:color="auto" w:fill="auto"/>
            <w:vAlign w:val="center"/>
            <w:hideMark/>
          </w:tcPr>
          <w:p w14:paraId="5B0B966D"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93.67</w:t>
            </w:r>
          </w:p>
        </w:tc>
        <w:tc>
          <w:tcPr>
            <w:tcW w:w="1263" w:type="dxa"/>
            <w:tcBorders>
              <w:top w:val="nil"/>
              <w:left w:val="nil"/>
              <w:bottom w:val="single" w:sz="4" w:space="0" w:color="auto"/>
              <w:right w:val="single" w:sz="4" w:space="0" w:color="auto"/>
            </w:tcBorders>
            <w:shd w:val="clear" w:color="auto" w:fill="auto"/>
            <w:vAlign w:val="center"/>
            <w:hideMark/>
          </w:tcPr>
          <w:p w14:paraId="6696AA10"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90.46</w:t>
            </w:r>
          </w:p>
        </w:tc>
        <w:tc>
          <w:tcPr>
            <w:tcW w:w="875" w:type="dxa"/>
            <w:tcBorders>
              <w:top w:val="nil"/>
              <w:left w:val="nil"/>
              <w:bottom w:val="single" w:sz="4" w:space="0" w:color="auto"/>
              <w:right w:val="single" w:sz="4" w:space="0" w:color="auto"/>
            </w:tcBorders>
            <w:shd w:val="clear" w:color="auto" w:fill="auto"/>
            <w:vAlign w:val="center"/>
            <w:hideMark/>
          </w:tcPr>
          <w:p w14:paraId="3D07192E"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92.06</w:t>
            </w:r>
          </w:p>
        </w:tc>
      </w:tr>
      <w:tr w:rsidR="00B541E6" w:rsidRPr="007F03BF" w14:paraId="28BFF2F6"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2D8405AA"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13</w:t>
            </w:r>
          </w:p>
        </w:tc>
        <w:tc>
          <w:tcPr>
            <w:tcW w:w="5136" w:type="dxa"/>
            <w:tcBorders>
              <w:top w:val="nil"/>
              <w:left w:val="nil"/>
              <w:bottom w:val="single" w:sz="4" w:space="0" w:color="auto"/>
              <w:right w:val="single" w:sz="4" w:space="0" w:color="auto"/>
            </w:tcBorders>
            <w:shd w:val="clear" w:color="auto" w:fill="auto"/>
            <w:vAlign w:val="center"/>
            <w:hideMark/>
          </w:tcPr>
          <w:p w14:paraId="3CDA1B88"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Cuajimalpa de Morelos.</w:t>
            </w:r>
          </w:p>
        </w:tc>
        <w:tc>
          <w:tcPr>
            <w:tcW w:w="1123" w:type="dxa"/>
            <w:tcBorders>
              <w:top w:val="nil"/>
              <w:left w:val="nil"/>
              <w:bottom w:val="single" w:sz="4" w:space="0" w:color="auto"/>
              <w:right w:val="single" w:sz="4" w:space="0" w:color="auto"/>
            </w:tcBorders>
            <w:shd w:val="clear" w:color="auto" w:fill="auto"/>
            <w:vAlign w:val="center"/>
            <w:hideMark/>
          </w:tcPr>
          <w:p w14:paraId="165F02E8"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83.96</w:t>
            </w:r>
          </w:p>
        </w:tc>
        <w:tc>
          <w:tcPr>
            <w:tcW w:w="1263" w:type="dxa"/>
            <w:tcBorders>
              <w:top w:val="nil"/>
              <w:left w:val="nil"/>
              <w:bottom w:val="single" w:sz="4" w:space="0" w:color="auto"/>
              <w:right w:val="single" w:sz="4" w:space="0" w:color="auto"/>
            </w:tcBorders>
            <w:shd w:val="clear" w:color="auto" w:fill="auto"/>
            <w:vAlign w:val="center"/>
            <w:hideMark/>
          </w:tcPr>
          <w:p w14:paraId="55FF313B"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89.56</w:t>
            </w:r>
          </w:p>
        </w:tc>
        <w:tc>
          <w:tcPr>
            <w:tcW w:w="875" w:type="dxa"/>
            <w:tcBorders>
              <w:top w:val="nil"/>
              <w:left w:val="nil"/>
              <w:bottom w:val="single" w:sz="4" w:space="0" w:color="auto"/>
              <w:right w:val="single" w:sz="4" w:space="0" w:color="auto"/>
            </w:tcBorders>
            <w:shd w:val="clear" w:color="auto" w:fill="auto"/>
            <w:vAlign w:val="center"/>
            <w:hideMark/>
          </w:tcPr>
          <w:p w14:paraId="3A10920E"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86.76</w:t>
            </w:r>
          </w:p>
        </w:tc>
      </w:tr>
      <w:tr w:rsidR="00B541E6" w:rsidRPr="007F03BF" w14:paraId="757236A9" w14:textId="77777777" w:rsidTr="00B541E6">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66D892F8"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14</w:t>
            </w:r>
          </w:p>
        </w:tc>
        <w:tc>
          <w:tcPr>
            <w:tcW w:w="5136" w:type="dxa"/>
            <w:tcBorders>
              <w:top w:val="nil"/>
              <w:left w:val="nil"/>
              <w:bottom w:val="single" w:sz="4" w:space="0" w:color="auto"/>
              <w:right w:val="single" w:sz="4" w:space="0" w:color="auto"/>
            </w:tcBorders>
            <w:shd w:val="clear" w:color="auto" w:fill="auto"/>
            <w:vAlign w:val="center"/>
            <w:hideMark/>
          </w:tcPr>
          <w:p w14:paraId="1D8B1880" w14:textId="77777777" w:rsidR="00B541E6" w:rsidRPr="007F03BF" w:rsidRDefault="00B541E6" w:rsidP="00B541E6">
            <w:pPr>
              <w:jc w:val="both"/>
              <w:rPr>
                <w:rFonts w:ascii="Arial" w:hAnsi="Arial" w:cs="Arial"/>
                <w:color w:val="000000"/>
                <w:sz w:val="20"/>
                <w:szCs w:val="20"/>
              </w:rPr>
            </w:pPr>
            <w:r w:rsidRPr="007F03BF">
              <w:rPr>
                <w:rFonts w:ascii="Arial" w:hAnsi="Arial" w:cs="Arial"/>
                <w:color w:val="000000"/>
                <w:sz w:val="20"/>
                <w:szCs w:val="20"/>
              </w:rPr>
              <w:t>Alcaldía Coyoacán.</w:t>
            </w:r>
          </w:p>
        </w:tc>
        <w:tc>
          <w:tcPr>
            <w:tcW w:w="1123" w:type="dxa"/>
            <w:tcBorders>
              <w:top w:val="nil"/>
              <w:left w:val="nil"/>
              <w:bottom w:val="single" w:sz="4" w:space="0" w:color="auto"/>
              <w:right w:val="single" w:sz="4" w:space="0" w:color="auto"/>
            </w:tcBorders>
            <w:shd w:val="clear" w:color="auto" w:fill="auto"/>
            <w:vAlign w:val="center"/>
            <w:hideMark/>
          </w:tcPr>
          <w:p w14:paraId="7C37A942"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88.27</w:t>
            </w:r>
          </w:p>
        </w:tc>
        <w:tc>
          <w:tcPr>
            <w:tcW w:w="1263" w:type="dxa"/>
            <w:tcBorders>
              <w:top w:val="nil"/>
              <w:left w:val="nil"/>
              <w:bottom w:val="single" w:sz="4" w:space="0" w:color="auto"/>
              <w:right w:val="single" w:sz="4" w:space="0" w:color="auto"/>
            </w:tcBorders>
            <w:shd w:val="clear" w:color="auto" w:fill="auto"/>
            <w:vAlign w:val="center"/>
            <w:hideMark/>
          </w:tcPr>
          <w:p w14:paraId="7E65431B"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72.66</w:t>
            </w:r>
          </w:p>
        </w:tc>
        <w:tc>
          <w:tcPr>
            <w:tcW w:w="875" w:type="dxa"/>
            <w:tcBorders>
              <w:top w:val="nil"/>
              <w:left w:val="nil"/>
              <w:bottom w:val="single" w:sz="4" w:space="0" w:color="auto"/>
              <w:right w:val="single" w:sz="4" w:space="0" w:color="auto"/>
            </w:tcBorders>
            <w:shd w:val="clear" w:color="auto" w:fill="auto"/>
            <w:vAlign w:val="center"/>
            <w:hideMark/>
          </w:tcPr>
          <w:p w14:paraId="0DCC6603" w14:textId="77777777" w:rsidR="00B541E6" w:rsidRPr="007F03BF" w:rsidRDefault="00B541E6" w:rsidP="00B541E6">
            <w:pPr>
              <w:jc w:val="center"/>
              <w:rPr>
                <w:rFonts w:ascii="Arial" w:hAnsi="Arial" w:cs="Arial"/>
                <w:color w:val="000000"/>
                <w:sz w:val="20"/>
                <w:szCs w:val="20"/>
              </w:rPr>
            </w:pPr>
            <w:r w:rsidRPr="007F03BF">
              <w:rPr>
                <w:rFonts w:ascii="Arial" w:hAnsi="Arial" w:cs="Arial"/>
                <w:color w:val="000000"/>
                <w:sz w:val="20"/>
                <w:szCs w:val="20"/>
              </w:rPr>
              <w:t>80.46</w:t>
            </w:r>
          </w:p>
        </w:tc>
      </w:tr>
    </w:tbl>
    <w:p w14:paraId="39A7ECBA" w14:textId="77777777" w:rsidR="00F64E7A" w:rsidRPr="007F03BF" w:rsidRDefault="00F64E7A" w:rsidP="00F64E7A">
      <w:pPr>
        <w:spacing w:before="100" w:beforeAutospacing="1" w:after="100" w:afterAutospacing="1" w:line="360" w:lineRule="auto"/>
        <w:contextualSpacing/>
        <w:jc w:val="both"/>
        <w:rPr>
          <w:rFonts w:ascii="Arial" w:hAnsi="Arial" w:cs="Arial"/>
          <w:sz w:val="16"/>
          <w:szCs w:val="16"/>
        </w:rPr>
      </w:pPr>
      <w:r w:rsidRPr="007F03BF">
        <w:rPr>
          <w:rFonts w:ascii="Arial" w:hAnsi="Arial" w:cs="Arial"/>
          <w:b/>
          <w:sz w:val="16"/>
          <w:szCs w:val="16"/>
        </w:rPr>
        <w:t>Nota metodológica</w:t>
      </w:r>
      <w:r w:rsidRPr="007F03BF">
        <w:rPr>
          <w:rFonts w:ascii="Arial" w:hAnsi="Arial" w:cs="Arial"/>
          <w:sz w:val="16"/>
          <w:szCs w:val="16"/>
        </w:rPr>
        <w:t xml:space="preserve">: </w:t>
      </w:r>
    </w:p>
    <w:p w14:paraId="7A3174CF" w14:textId="77777777" w:rsidR="00F64E7A" w:rsidRPr="007F03BF" w:rsidRDefault="00F64E7A" w:rsidP="00F64E7A">
      <w:pPr>
        <w:spacing w:before="100" w:beforeAutospacing="1" w:after="100" w:afterAutospacing="1" w:line="360" w:lineRule="auto"/>
        <w:contextualSpacing/>
        <w:jc w:val="both"/>
        <w:rPr>
          <w:rFonts w:ascii="Arial" w:hAnsi="Arial" w:cs="Arial"/>
          <w:sz w:val="16"/>
          <w:szCs w:val="16"/>
        </w:rPr>
      </w:pPr>
      <w:r w:rsidRPr="007F03BF">
        <w:rPr>
          <w:rFonts w:ascii="Arial" w:hAnsi="Arial" w:cs="Arial"/>
          <w:sz w:val="16"/>
          <w:szCs w:val="16"/>
        </w:rPr>
        <w:t>El IGOT se compone del promedio de ICOT-PI e ICOT-PNT.</w:t>
      </w:r>
    </w:p>
    <w:p w14:paraId="565B0FDA" w14:textId="77777777" w:rsidR="00F64E7A" w:rsidRPr="007F03BF" w:rsidRDefault="00F64E7A" w:rsidP="00F64E7A">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PI:</w:t>
      </w:r>
      <w:r w:rsidRPr="007F03BF">
        <w:rPr>
          <w:rFonts w:ascii="Arial" w:hAnsi="Arial" w:cs="Arial"/>
          <w:color w:val="000000"/>
          <w:sz w:val="16"/>
          <w:szCs w:val="16"/>
        </w:rPr>
        <w:t xml:space="preserve"> corresponde al porcentaje del índice que hace referencia a la información que se encuentra publicada y actualizada en el Portal de Internet (PI) del sujeto obligado. </w:t>
      </w:r>
    </w:p>
    <w:p w14:paraId="7E7BF256" w14:textId="77777777" w:rsidR="00F64E7A" w:rsidRPr="007F03BF" w:rsidRDefault="00F64E7A" w:rsidP="00F64E7A">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PNT:</w:t>
      </w:r>
      <w:r w:rsidRPr="007F03BF">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sujeto obligado.</w:t>
      </w:r>
    </w:p>
    <w:p w14:paraId="740CCCC4" w14:textId="77777777" w:rsidR="00F64E7A" w:rsidRPr="007F03BF" w:rsidRDefault="00F64E7A" w:rsidP="00F64E7A">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IGOT: </w:t>
      </w:r>
      <w:r w:rsidRPr="007F03BF">
        <w:rPr>
          <w:rFonts w:ascii="Arial" w:hAnsi="Arial" w:cs="Arial"/>
          <w:color w:val="000000"/>
          <w:sz w:val="16"/>
          <w:szCs w:val="16"/>
        </w:rPr>
        <w:t>corresponde al porcentaje del índice que hace referencia a la información que se encuentra publicada y actualizada tanto en la PNT y el PI del sujeto obligado.</w:t>
      </w:r>
    </w:p>
    <w:p w14:paraId="2A188167" w14:textId="77777777" w:rsidR="00F64E7A" w:rsidRPr="007F03BF" w:rsidRDefault="00F64E7A" w:rsidP="00F64E7A">
      <w:pPr>
        <w:spacing w:before="100" w:beforeAutospacing="1" w:after="100" w:afterAutospacing="1" w:line="360" w:lineRule="auto"/>
        <w:contextualSpacing/>
        <w:jc w:val="both"/>
        <w:rPr>
          <w:rFonts w:ascii="Arial" w:hAnsi="Arial" w:cs="Arial"/>
          <w:color w:val="000000"/>
        </w:rPr>
      </w:pPr>
    </w:p>
    <w:p w14:paraId="09290C30" w14:textId="455CD103" w:rsidR="00F64E7A" w:rsidRPr="007F03BF" w:rsidRDefault="00F64E7A" w:rsidP="00F64E7A">
      <w:pPr>
        <w:spacing w:before="100" w:beforeAutospacing="1" w:after="100" w:afterAutospacing="1" w:line="360" w:lineRule="auto"/>
        <w:contextualSpacing/>
        <w:jc w:val="both"/>
        <w:rPr>
          <w:rFonts w:ascii="Arial" w:hAnsi="Arial" w:cs="Arial"/>
        </w:rPr>
      </w:pPr>
      <w:r w:rsidRPr="007F03BF">
        <w:rPr>
          <w:rFonts w:ascii="Arial" w:hAnsi="Arial" w:cs="Arial"/>
        </w:rPr>
        <w:t xml:space="preserve">En atención a la Tabla de Aplicabilidad realizada por la </w:t>
      </w:r>
      <w:r w:rsidR="000E5534" w:rsidRPr="007F03BF">
        <w:rPr>
          <w:rFonts w:ascii="Arial" w:hAnsi="Arial" w:cs="Arial"/>
        </w:rPr>
        <w:t>Dirección</w:t>
      </w:r>
      <w:r w:rsidRPr="007F03BF">
        <w:rPr>
          <w:rFonts w:ascii="Arial" w:hAnsi="Arial" w:cs="Arial"/>
        </w:rPr>
        <w:t xml:space="preserve"> del Instituto, las obligaciones que el Poder Ejecutivo – Demarcaciones Territoriales debe actualizar </w:t>
      </w:r>
      <w:r w:rsidRPr="007F03BF">
        <w:rPr>
          <w:rFonts w:ascii="Arial" w:hAnsi="Arial" w:cs="Arial"/>
        </w:rPr>
        <w:lastRenderedPageBreak/>
        <w:t xml:space="preserve">y publicar en el SIPOT de la PNT, así como en sus respectivos portales de internet son las contempladas en los siguientes artículos: </w:t>
      </w:r>
    </w:p>
    <w:p w14:paraId="06C530A8" w14:textId="77777777" w:rsidR="00F64E7A" w:rsidRPr="007F03BF"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Artículo 121. Obligaciones comunes,</w:t>
      </w:r>
    </w:p>
    <w:p w14:paraId="55E85EBE" w14:textId="77777777" w:rsidR="00F64E7A" w:rsidRPr="007F03BF"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Artículo 122. Obligaciones comunes,</w:t>
      </w:r>
    </w:p>
    <w:p w14:paraId="4E878453" w14:textId="77777777" w:rsidR="00F64E7A" w:rsidRPr="007F03BF"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Artículo 124. Obligaciones Específicas de los Órganos Políticos Administrativos, Alcaidías o Demarcaciones Territoriales,</w:t>
      </w:r>
    </w:p>
    <w:p w14:paraId="3FEC542C" w14:textId="77777777" w:rsidR="00F64E7A" w:rsidRPr="007F03BF"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Artículo 143. Disposiciones Particulares,</w:t>
      </w:r>
    </w:p>
    <w:p w14:paraId="6865E4AA" w14:textId="77777777" w:rsidR="00F64E7A" w:rsidRPr="007F03BF"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145. Disposiciones Particulares, </w:t>
      </w:r>
    </w:p>
    <w:p w14:paraId="28022EF1" w14:textId="77777777" w:rsidR="00F64E7A" w:rsidRPr="007F03BF"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146. Disposiciones Particulares, </w:t>
      </w:r>
    </w:p>
    <w:p w14:paraId="76CF9D94" w14:textId="77777777" w:rsidR="00F64E7A" w:rsidRPr="007F03BF" w:rsidRDefault="00F64E7A" w:rsidP="00FF7BD9">
      <w:pPr>
        <w:pStyle w:val="Prrafodelista"/>
        <w:numPr>
          <w:ilvl w:val="0"/>
          <w:numId w:val="13"/>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147. Disposiciones Particulares. </w:t>
      </w:r>
    </w:p>
    <w:p w14:paraId="15DD224A" w14:textId="77777777" w:rsidR="00F64E7A" w:rsidRPr="007F03BF" w:rsidRDefault="00F64E7A" w:rsidP="00FF7BD9">
      <w:pPr>
        <w:pStyle w:val="Ttulo2"/>
        <w:contextualSpacing/>
        <w:jc w:val="both"/>
        <w:rPr>
          <w:rFonts w:ascii="Arial" w:hAnsi="Arial" w:cs="Arial"/>
          <w:b/>
          <w:color w:val="auto"/>
          <w:sz w:val="24"/>
          <w:szCs w:val="24"/>
        </w:rPr>
      </w:pPr>
      <w:bookmarkStart w:id="18" w:name="_Toc39684000"/>
      <w:r w:rsidRPr="007F03BF">
        <w:rPr>
          <w:rFonts w:ascii="Arial" w:hAnsi="Arial" w:cs="Arial"/>
          <w:b/>
          <w:color w:val="auto"/>
          <w:sz w:val="24"/>
          <w:szCs w:val="24"/>
        </w:rPr>
        <w:t>Análisis global de cumplimiento del Poder Ejecutivo – Demarcaciones Territoriales</w:t>
      </w:r>
      <w:bookmarkEnd w:id="18"/>
    </w:p>
    <w:p w14:paraId="5F793D88" w14:textId="77777777" w:rsidR="00F64E7A" w:rsidRPr="007F03BF" w:rsidRDefault="00F64E7A" w:rsidP="00F64E7A">
      <w:pPr>
        <w:rPr>
          <w:rFonts w:ascii="Arial" w:hAnsi="Arial" w:cs="Arial"/>
        </w:rPr>
      </w:pPr>
    </w:p>
    <w:p w14:paraId="493A83A4" w14:textId="77777777" w:rsidR="00F64E7A" w:rsidRPr="007F03BF" w:rsidRDefault="00F64E7A" w:rsidP="00F64E7A">
      <w:pPr>
        <w:spacing w:before="100" w:beforeAutospacing="1" w:after="100" w:afterAutospacing="1" w:line="360" w:lineRule="auto"/>
        <w:contextualSpacing/>
        <w:jc w:val="both"/>
        <w:rPr>
          <w:rFonts w:ascii="Arial" w:hAnsi="Arial" w:cs="Arial"/>
          <w:u w:val="single"/>
        </w:rPr>
      </w:pPr>
      <w:r w:rsidRPr="007F03BF">
        <w:rPr>
          <w:rFonts w:ascii="Arial" w:hAnsi="Arial" w:cs="Arial"/>
          <w:u w:val="single"/>
        </w:rPr>
        <w:t>Índices Globales de Cumplimiento de las obligaciones de transparencia</w:t>
      </w:r>
    </w:p>
    <w:p w14:paraId="64D9005E" w14:textId="77777777" w:rsidR="00F64E7A" w:rsidRPr="007F03BF" w:rsidRDefault="00F64E7A" w:rsidP="00F64E7A">
      <w:pPr>
        <w:spacing w:before="100" w:beforeAutospacing="1" w:after="100" w:afterAutospacing="1" w:line="360" w:lineRule="auto"/>
        <w:contextualSpacing/>
        <w:jc w:val="both"/>
        <w:rPr>
          <w:rFonts w:ascii="Arial" w:hAnsi="Arial" w:cs="Arial"/>
        </w:rPr>
      </w:pPr>
    </w:p>
    <w:p w14:paraId="73F01586" w14:textId="77777777" w:rsidR="00F64E7A" w:rsidRPr="007F03BF" w:rsidRDefault="00F64E7A" w:rsidP="00F64E7A">
      <w:pPr>
        <w:spacing w:before="100" w:beforeAutospacing="1" w:after="100" w:afterAutospacing="1" w:line="360" w:lineRule="auto"/>
        <w:contextualSpacing/>
        <w:jc w:val="both"/>
        <w:rPr>
          <w:rFonts w:ascii="Arial" w:hAnsi="Arial" w:cs="Arial"/>
        </w:rPr>
      </w:pPr>
      <w:r w:rsidRPr="007F03BF">
        <w:rPr>
          <w:rFonts w:ascii="Arial" w:hAnsi="Arial" w:cs="Arial"/>
        </w:rPr>
        <w:t>El ámbito del Poder Ejecutivo – Demarcaciones Territoriales (Demarcaciones) obtuvo un IGOT de 9</w:t>
      </w:r>
      <w:r w:rsidR="00B541E6" w:rsidRPr="007F03BF">
        <w:rPr>
          <w:rFonts w:ascii="Arial" w:hAnsi="Arial" w:cs="Arial"/>
        </w:rPr>
        <w:t>4.92</w:t>
      </w:r>
      <w:r w:rsidRPr="007F03BF">
        <w:rPr>
          <w:rFonts w:ascii="Arial" w:hAnsi="Arial" w:cs="Arial"/>
        </w:rPr>
        <w:t xml:space="preserve">%, el cual está compuesto por un índice de </w:t>
      </w:r>
      <w:r w:rsidR="00130AF5" w:rsidRPr="007F03BF">
        <w:rPr>
          <w:rFonts w:ascii="Arial" w:hAnsi="Arial" w:cs="Arial"/>
        </w:rPr>
        <w:t>9</w:t>
      </w:r>
      <w:r w:rsidR="00B541E6" w:rsidRPr="007F03BF">
        <w:rPr>
          <w:rFonts w:ascii="Arial" w:hAnsi="Arial" w:cs="Arial"/>
        </w:rPr>
        <w:t>4</w:t>
      </w:r>
      <w:r w:rsidR="00130AF5" w:rsidRPr="007F03BF">
        <w:rPr>
          <w:rFonts w:ascii="Arial" w:hAnsi="Arial" w:cs="Arial"/>
        </w:rPr>
        <w:t>.</w:t>
      </w:r>
      <w:r w:rsidR="00B541E6" w:rsidRPr="007F03BF">
        <w:rPr>
          <w:rFonts w:ascii="Arial" w:hAnsi="Arial" w:cs="Arial"/>
        </w:rPr>
        <w:t>78</w:t>
      </w:r>
      <w:r w:rsidRPr="007F03BF">
        <w:rPr>
          <w:rFonts w:ascii="Arial" w:hAnsi="Arial" w:cs="Arial"/>
        </w:rPr>
        <w:t xml:space="preserve">% en lo que corresponde a la Plataforma Nacional de Transparencia (PNT) y un índice de </w:t>
      </w:r>
      <w:r w:rsidR="00B541E6" w:rsidRPr="007F03BF">
        <w:rPr>
          <w:rFonts w:ascii="Arial" w:hAnsi="Arial" w:cs="Arial"/>
        </w:rPr>
        <w:t>95</w:t>
      </w:r>
      <w:r w:rsidR="00130AF5" w:rsidRPr="007F03BF">
        <w:rPr>
          <w:rFonts w:ascii="Arial" w:hAnsi="Arial" w:cs="Arial"/>
        </w:rPr>
        <w:t>.</w:t>
      </w:r>
      <w:r w:rsidR="00B541E6" w:rsidRPr="007F03BF">
        <w:rPr>
          <w:rFonts w:ascii="Arial" w:hAnsi="Arial" w:cs="Arial"/>
        </w:rPr>
        <w:t>06</w:t>
      </w:r>
      <w:r w:rsidRPr="007F03BF">
        <w:rPr>
          <w:rFonts w:ascii="Arial" w:hAnsi="Arial" w:cs="Arial"/>
        </w:rPr>
        <w:t>% en lo que se refiere al Portal de Transparencia (PI).</w:t>
      </w:r>
    </w:p>
    <w:p w14:paraId="5C76ADCA" w14:textId="77777777" w:rsidR="00F64E7A" w:rsidRPr="007F03BF" w:rsidRDefault="00F64E7A" w:rsidP="00F64E7A">
      <w:pPr>
        <w:spacing w:before="100" w:beforeAutospacing="1" w:after="100" w:afterAutospacing="1" w:line="360" w:lineRule="auto"/>
        <w:contextualSpacing/>
        <w:jc w:val="both"/>
        <w:rPr>
          <w:rFonts w:ascii="Arial" w:hAnsi="Arial" w:cs="Arial"/>
        </w:rPr>
      </w:pPr>
    </w:p>
    <w:p w14:paraId="4FF5FED1" w14:textId="14CB3489" w:rsidR="00F64E7A" w:rsidRPr="007F03BF" w:rsidRDefault="00130AF5" w:rsidP="00F64E7A">
      <w:pPr>
        <w:spacing w:before="100" w:beforeAutospacing="1" w:after="100" w:afterAutospacing="1" w:line="360" w:lineRule="auto"/>
        <w:contextualSpacing/>
        <w:jc w:val="both"/>
        <w:rPr>
          <w:rFonts w:ascii="Arial" w:hAnsi="Arial" w:cs="Arial"/>
        </w:rPr>
      </w:pPr>
      <w:r w:rsidRPr="007F03BF">
        <w:rPr>
          <w:rFonts w:ascii="Arial" w:hAnsi="Arial" w:cs="Arial"/>
        </w:rPr>
        <w:t xml:space="preserve">Todos los </w:t>
      </w:r>
      <w:r w:rsidR="00F64E7A" w:rsidRPr="007F03BF">
        <w:rPr>
          <w:rFonts w:ascii="Arial" w:hAnsi="Arial" w:cs="Arial"/>
        </w:rPr>
        <w:t xml:space="preserve">sujetos que integran este ámbito atendieron las recomendaciones y observaciones emitidas en la </w:t>
      </w:r>
      <w:r w:rsidR="00B541E6" w:rsidRPr="007F03BF">
        <w:rPr>
          <w:rFonts w:ascii="Arial" w:hAnsi="Arial" w:cs="Arial"/>
        </w:rPr>
        <w:t>Segunda</w:t>
      </w:r>
      <w:r w:rsidR="00F64E7A" w:rsidRPr="007F03BF">
        <w:rPr>
          <w:rFonts w:ascii="Arial" w:hAnsi="Arial" w:cs="Arial"/>
        </w:rPr>
        <w:t xml:space="preserve"> Evaluación Vinculante 2019; no obstante, únicamente </w:t>
      </w:r>
      <w:r w:rsidRPr="007F03BF">
        <w:rPr>
          <w:rFonts w:ascii="Arial" w:hAnsi="Arial" w:cs="Arial"/>
        </w:rPr>
        <w:t>tres subsanaron a cabalidad las recomendaciones, logrando un cumplimiento total de las obligaciones de transparencia</w:t>
      </w:r>
      <w:r w:rsidR="00140C76" w:rsidRPr="007F03BF">
        <w:rPr>
          <w:rFonts w:ascii="Arial" w:hAnsi="Arial" w:cs="Arial"/>
        </w:rPr>
        <w:t xml:space="preserve"> y</w:t>
      </w:r>
      <w:r w:rsidRPr="007F03BF">
        <w:rPr>
          <w:rFonts w:ascii="Arial" w:hAnsi="Arial" w:cs="Arial"/>
        </w:rPr>
        <w:t xml:space="preserve"> 1</w:t>
      </w:r>
      <w:r w:rsidR="00B541E6" w:rsidRPr="007F03BF">
        <w:rPr>
          <w:rFonts w:ascii="Arial" w:hAnsi="Arial" w:cs="Arial"/>
        </w:rPr>
        <w:t>1</w:t>
      </w:r>
      <w:r w:rsidRPr="007F03BF">
        <w:rPr>
          <w:rFonts w:ascii="Arial" w:hAnsi="Arial" w:cs="Arial"/>
        </w:rPr>
        <w:t xml:space="preserve"> Demarcaciones aún presentan áreas de oportunidad en la publicación y actualización de la información. De las </w:t>
      </w:r>
      <w:r w:rsidR="00140C76" w:rsidRPr="007F03BF">
        <w:rPr>
          <w:rFonts w:ascii="Arial" w:hAnsi="Arial" w:cs="Arial"/>
        </w:rPr>
        <w:t>11</w:t>
      </w:r>
      <w:r w:rsidRPr="007F03BF">
        <w:rPr>
          <w:rFonts w:ascii="Arial" w:hAnsi="Arial" w:cs="Arial"/>
        </w:rPr>
        <w:t xml:space="preserve"> Demarcaciones, </w:t>
      </w:r>
      <w:r w:rsidR="00443947" w:rsidRPr="007F03BF">
        <w:rPr>
          <w:rFonts w:ascii="Arial" w:hAnsi="Arial" w:cs="Arial"/>
        </w:rPr>
        <w:t>9</w:t>
      </w:r>
      <w:r w:rsidR="00140C76" w:rsidRPr="007F03BF">
        <w:rPr>
          <w:rFonts w:ascii="Arial" w:hAnsi="Arial" w:cs="Arial"/>
        </w:rPr>
        <w:t xml:space="preserve"> </w:t>
      </w:r>
      <w:r w:rsidRPr="007F03BF">
        <w:rPr>
          <w:rFonts w:ascii="Arial" w:hAnsi="Arial" w:cs="Arial"/>
        </w:rPr>
        <w:t>tiene</w:t>
      </w:r>
      <w:r w:rsidR="00D23BCA" w:rsidRPr="007F03BF">
        <w:rPr>
          <w:rFonts w:ascii="Arial" w:hAnsi="Arial" w:cs="Arial"/>
        </w:rPr>
        <w:t>n</w:t>
      </w:r>
      <w:r w:rsidRPr="007F03BF">
        <w:rPr>
          <w:rFonts w:ascii="Arial" w:hAnsi="Arial" w:cs="Arial"/>
        </w:rPr>
        <w:t xml:space="preserve"> un IGOT superior al 90% e inferior al 100%</w:t>
      </w:r>
      <w:r w:rsidR="00140C76" w:rsidRPr="007F03BF">
        <w:rPr>
          <w:rFonts w:ascii="Arial" w:hAnsi="Arial" w:cs="Arial"/>
        </w:rPr>
        <w:t xml:space="preserve"> y dos </w:t>
      </w:r>
      <w:r w:rsidRPr="007F03BF">
        <w:rPr>
          <w:rFonts w:ascii="Arial" w:hAnsi="Arial" w:cs="Arial"/>
        </w:rPr>
        <w:t>presentan un IGOT entre 80% y 90</w:t>
      </w:r>
      <w:r w:rsidR="00140C76" w:rsidRPr="007F03BF">
        <w:rPr>
          <w:rFonts w:ascii="Arial" w:hAnsi="Arial" w:cs="Arial"/>
        </w:rPr>
        <w:t>%.</w:t>
      </w:r>
    </w:p>
    <w:p w14:paraId="2B3D6900" w14:textId="77777777" w:rsidR="00F64E7A" w:rsidRPr="007F03BF" w:rsidRDefault="00F64E7A" w:rsidP="00F64E7A">
      <w:pPr>
        <w:spacing w:before="100" w:beforeAutospacing="1" w:after="100" w:afterAutospacing="1" w:line="360" w:lineRule="auto"/>
        <w:contextualSpacing/>
        <w:jc w:val="both"/>
        <w:rPr>
          <w:rFonts w:ascii="Arial" w:hAnsi="Arial" w:cs="Arial"/>
        </w:rPr>
      </w:pPr>
    </w:p>
    <w:p w14:paraId="6DF1ED01" w14:textId="4C3B48EE" w:rsidR="00F64E7A" w:rsidRPr="007F03BF" w:rsidRDefault="00F64E7A" w:rsidP="00F64E7A">
      <w:pPr>
        <w:spacing w:before="100" w:beforeAutospacing="1" w:after="100" w:afterAutospacing="1" w:line="360" w:lineRule="auto"/>
        <w:contextualSpacing/>
        <w:jc w:val="both"/>
        <w:rPr>
          <w:rFonts w:ascii="Arial" w:hAnsi="Arial" w:cs="Arial"/>
        </w:rPr>
      </w:pPr>
      <w:r w:rsidRPr="007F03BF">
        <w:rPr>
          <w:rFonts w:ascii="Arial" w:hAnsi="Arial" w:cs="Arial"/>
        </w:rPr>
        <w:lastRenderedPageBreak/>
        <w:t xml:space="preserve">Con relación a la </w:t>
      </w:r>
      <w:r w:rsidR="00140C76" w:rsidRPr="007F03BF">
        <w:rPr>
          <w:rFonts w:ascii="Arial" w:hAnsi="Arial" w:cs="Arial"/>
        </w:rPr>
        <w:t>Segunda</w:t>
      </w:r>
      <w:r w:rsidRPr="007F03BF">
        <w:rPr>
          <w:rFonts w:ascii="Arial" w:hAnsi="Arial" w:cs="Arial"/>
        </w:rPr>
        <w:t xml:space="preserve"> Evaluación Vinculante 2019, este ámbito tuvo un incremento sustantivo, puesto que pasó de tener un IGOT de </w:t>
      </w:r>
      <w:r w:rsidR="00140C76" w:rsidRPr="007F03BF">
        <w:rPr>
          <w:rFonts w:ascii="Arial" w:hAnsi="Arial" w:cs="Arial"/>
        </w:rPr>
        <w:t>87.89</w:t>
      </w:r>
      <w:r w:rsidRPr="007F03BF">
        <w:rPr>
          <w:rFonts w:ascii="Arial" w:hAnsi="Arial" w:cs="Arial"/>
        </w:rPr>
        <w:t xml:space="preserve">% a uno de </w:t>
      </w:r>
      <w:r w:rsidR="00130AF5" w:rsidRPr="007F03BF">
        <w:rPr>
          <w:rFonts w:ascii="Arial" w:hAnsi="Arial" w:cs="Arial"/>
        </w:rPr>
        <w:t>9</w:t>
      </w:r>
      <w:r w:rsidR="00140C76" w:rsidRPr="007F03BF">
        <w:rPr>
          <w:rFonts w:ascii="Arial" w:hAnsi="Arial" w:cs="Arial"/>
        </w:rPr>
        <w:t>4.92</w:t>
      </w:r>
      <w:r w:rsidRPr="007F03BF">
        <w:rPr>
          <w:rFonts w:ascii="Arial" w:hAnsi="Arial" w:cs="Arial"/>
        </w:rPr>
        <w:t xml:space="preserve">%; </w:t>
      </w:r>
      <w:r w:rsidR="00130AF5" w:rsidRPr="007F03BF">
        <w:rPr>
          <w:rFonts w:ascii="Arial" w:hAnsi="Arial" w:cs="Arial"/>
        </w:rPr>
        <w:t xml:space="preserve">manteniéndose con un cumplimiento parcial </w:t>
      </w:r>
      <w:r w:rsidRPr="007F03BF">
        <w:rPr>
          <w:rFonts w:ascii="Arial" w:hAnsi="Arial" w:cs="Arial"/>
        </w:rPr>
        <w:t xml:space="preserve">de las obligaciones de transparencia de la Ley de Transparencia </w:t>
      </w:r>
      <w:r w:rsidR="00D47F3C" w:rsidRPr="007F03BF">
        <w:rPr>
          <w:rFonts w:ascii="Arial" w:hAnsi="Arial" w:cs="Arial"/>
        </w:rPr>
        <w:t>local</w:t>
      </w:r>
      <w:r w:rsidRPr="007F03BF">
        <w:rPr>
          <w:rFonts w:ascii="Arial" w:hAnsi="Arial" w:cs="Arial"/>
        </w:rPr>
        <w:t xml:space="preserve">. Este ámbito tuvo un incremento de </w:t>
      </w:r>
      <w:r w:rsidR="00140C76" w:rsidRPr="007F03BF">
        <w:rPr>
          <w:rFonts w:ascii="Arial" w:hAnsi="Arial" w:cs="Arial"/>
        </w:rPr>
        <w:t>7.03</w:t>
      </w:r>
      <w:r w:rsidRPr="007F03BF">
        <w:rPr>
          <w:rFonts w:ascii="Arial" w:hAnsi="Arial" w:cs="Arial"/>
        </w:rPr>
        <w:t xml:space="preserve">% dentro de su índice. </w:t>
      </w:r>
    </w:p>
    <w:p w14:paraId="751E2E8E" w14:textId="77777777" w:rsidR="00F64E7A" w:rsidRPr="007F03BF" w:rsidRDefault="00F64E7A" w:rsidP="00F64E7A">
      <w:pPr>
        <w:spacing w:before="100" w:beforeAutospacing="1" w:after="100" w:afterAutospacing="1" w:line="360" w:lineRule="auto"/>
        <w:contextualSpacing/>
        <w:jc w:val="both"/>
        <w:rPr>
          <w:rFonts w:ascii="Arial" w:hAnsi="Arial" w:cs="Arial"/>
        </w:rPr>
      </w:pPr>
    </w:p>
    <w:p w14:paraId="21ECECB5" w14:textId="77777777" w:rsidR="00F64E7A" w:rsidRPr="007F03BF" w:rsidRDefault="00F64E7A" w:rsidP="00F64E7A">
      <w:pPr>
        <w:spacing w:before="100" w:beforeAutospacing="1" w:after="100" w:afterAutospacing="1" w:line="360" w:lineRule="auto"/>
        <w:contextualSpacing/>
        <w:jc w:val="both"/>
        <w:rPr>
          <w:rFonts w:ascii="Arial" w:hAnsi="Arial" w:cs="Arial"/>
          <w:u w:val="single"/>
        </w:rPr>
      </w:pPr>
      <w:r w:rsidRPr="007F03BF">
        <w:rPr>
          <w:rFonts w:ascii="Arial" w:hAnsi="Arial" w:cs="Arial"/>
          <w:u w:val="single"/>
        </w:rPr>
        <w:t xml:space="preserve">Cumplimiento diferenciado por artículos </w:t>
      </w:r>
    </w:p>
    <w:p w14:paraId="19419D9E" w14:textId="77777777" w:rsidR="00F64E7A" w:rsidRPr="007F03BF" w:rsidRDefault="00F64E7A" w:rsidP="00F64E7A">
      <w:pPr>
        <w:spacing w:before="100" w:beforeAutospacing="1" w:after="100" w:afterAutospacing="1" w:line="360" w:lineRule="auto"/>
        <w:contextualSpacing/>
        <w:jc w:val="both"/>
        <w:rPr>
          <w:rFonts w:ascii="Arial" w:hAnsi="Arial" w:cs="Arial"/>
          <w:u w:val="single"/>
        </w:rPr>
      </w:pPr>
    </w:p>
    <w:p w14:paraId="05488347" w14:textId="77777777" w:rsidR="00F64E7A" w:rsidRPr="007F03BF" w:rsidRDefault="00F64E7A" w:rsidP="00F64E7A">
      <w:pPr>
        <w:spacing w:before="100" w:beforeAutospacing="1" w:after="100" w:afterAutospacing="1" w:line="360" w:lineRule="auto"/>
        <w:contextualSpacing/>
        <w:jc w:val="both"/>
        <w:rPr>
          <w:rFonts w:ascii="Arial" w:hAnsi="Arial" w:cs="Arial"/>
        </w:rPr>
      </w:pPr>
      <w:r w:rsidRPr="007F03BF">
        <w:rPr>
          <w:rFonts w:ascii="Arial" w:hAnsi="Arial" w:cs="Arial"/>
        </w:rPr>
        <w:t>Con relación al tipo de obligaciones de transparencia, este ámbito ha cumplido parcialmente con sus obligaciones comunes, específicas y disposiciones particulares, obteniendo un ICP de</w:t>
      </w:r>
      <w:r w:rsidR="00501317" w:rsidRPr="007F03BF">
        <w:rPr>
          <w:rFonts w:ascii="Arial" w:hAnsi="Arial" w:cs="Arial"/>
        </w:rPr>
        <w:t xml:space="preserve"> 9</w:t>
      </w:r>
      <w:r w:rsidR="00140C76" w:rsidRPr="007F03BF">
        <w:rPr>
          <w:rFonts w:ascii="Arial" w:hAnsi="Arial" w:cs="Arial"/>
        </w:rPr>
        <w:t>5.26</w:t>
      </w:r>
      <w:r w:rsidRPr="007F03BF">
        <w:rPr>
          <w:rFonts w:ascii="Arial" w:hAnsi="Arial" w:cs="Arial"/>
        </w:rPr>
        <w:t>%,</w:t>
      </w:r>
      <w:r w:rsidR="00501317" w:rsidRPr="007F03BF">
        <w:rPr>
          <w:rFonts w:ascii="Arial" w:hAnsi="Arial" w:cs="Arial"/>
        </w:rPr>
        <w:t xml:space="preserve"> </w:t>
      </w:r>
      <w:r w:rsidR="00140C76" w:rsidRPr="007F03BF">
        <w:rPr>
          <w:rFonts w:ascii="Arial" w:hAnsi="Arial" w:cs="Arial"/>
        </w:rPr>
        <w:t>91.36</w:t>
      </w:r>
      <w:r w:rsidRPr="007F03BF">
        <w:rPr>
          <w:rFonts w:ascii="Arial" w:hAnsi="Arial" w:cs="Arial"/>
        </w:rPr>
        <w:t>% y 9</w:t>
      </w:r>
      <w:r w:rsidR="00140C76" w:rsidRPr="007F03BF">
        <w:rPr>
          <w:rFonts w:ascii="Arial" w:hAnsi="Arial" w:cs="Arial"/>
        </w:rPr>
        <w:t>6.80</w:t>
      </w:r>
      <w:r w:rsidRPr="007F03BF">
        <w:rPr>
          <w:rFonts w:ascii="Arial" w:hAnsi="Arial" w:cs="Arial"/>
        </w:rPr>
        <w:t xml:space="preserve">%, respectivamente. </w:t>
      </w:r>
    </w:p>
    <w:p w14:paraId="49E0FC35" w14:textId="77777777" w:rsidR="00F64E7A" w:rsidRPr="007F03BF" w:rsidRDefault="00F64E7A" w:rsidP="00F64E7A">
      <w:pPr>
        <w:spacing w:before="100" w:beforeAutospacing="1" w:after="100" w:afterAutospacing="1" w:line="360" w:lineRule="auto"/>
        <w:contextualSpacing/>
        <w:jc w:val="both"/>
        <w:rPr>
          <w:rFonts w:ascii="Arial" w:hAnsi="Arial" w:cs="Arial"/>
        </w:rPr>
      </w:pPr>
    </w:p>
    <w:p w14:paraId="573846AF" w14:textId="77777777" w:rsidR="00F64E7A" w:rsidRPr="007F03BF" w:rsidRDefault="00F64E7A" w:rsidP="00F64E7A">
      <w:pPr>
        <w:spacing w:before="100" w:beforeAutospacing="1" w:after="100" w:afterAutospacing="1" w:line="360" w:lineRule="auto"/>
        <w:contextualSpacing/>
        <w:jc w:val="both"/>
        <w:rPr>
          <w:rFonts w:ascii="Arial" w:hAnsi="Arial" w:cs="Arial"/>
        </w:rPr>
      </w:pPr>
      <w:r w:rsidRPr="007F03BF">
        <w:rPr>
          <w:rFonts w:ascii="Arial" w:hAnsi="Arial" w:cs="Arial"/>
        </w:rPr>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B2542B" w:rsidRPr="007F03BF" w14:paraId="574EF9B6" w14:textId="77777777" w:rsidTr="008C4FD7">
        <w:tc>
          <w:tcPr>
            <w:tcW w:w="3659" w:type="dxa"/>
            <w:shd w:val="clear" w:color="auto" w:fill="70AD47" w:themeFill="accent6"/>
            <w:vAlign w:val="center"/>
          </w:tcPr>
          <w:p w14:paraId="24FC81B7" w14:textId="77777777"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Artículo</w:t>
            </w:r>
          </w:p>
        </w:tc>
        <w:tc>
          <w:tcPr>
            <w:tcW w:w="2148" w:type="dxa"/>
            <w:shd w:val="clear" w:color="auto" w:fill="70AD47" w:themeFill="accent6"/>
            <w:vAlign w:val="center"/>
          </w:tcPr>
          <w:p w14:paraId="060910AB" w14:textId="020CE4AA"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ICP – 2ª Evaluación 20</w:t>
            </w:r>
            <w:r w:rsidR="00D47F3C" w:rsidRPr="007F03BF">
              <w:rPr>
                <w:rFonts w:ascii="Arial" w:hAnsi="Arial" w:cs="Arial"/>
                <w:b/>
                <w:bCs/>
                <w:color w:val="000000" w:themeColor="text1"/>
                <w:sz w:val="20"/>
                <w:szCs w:val="20"/>
              </w:rPr>
              <w:t>19</w:t>
            </w:r>
          </w:p>
        </w:tc>
        <w:tc>
          <w:tcPr>
            <w:tcW w:w="2092" w:type="dxa"/>
            <w:shd w:val="clear" w:color="auto" w:fill="70AD47" w:themeFill="accent6"/>
            <w:vAlign w:val="center"/>
          </w:tcPr>
          <w:p w14:paraId="24D112AA" w14:textId="250A12B7"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ICP – 1ª Evaluación 20</w:t>
            </w:r>
            <w:r w:rsidR="00D47F3C" w:rsidRPr="007F03BF">
              <w:rPr>
                <w:rFonts w:ascii="Arial" w:hAnsi="Arial" w:cs="Arial"/>
                <w:b/>
                <w:bCs/>
                <w:color w:val="000000" w:themeColor="text1"/>
                <w:sz w:val="20"/>
                <w:szCs w:val="20"/>
              </w:rPr>
              <w:t>20</w:t>
            </w:r>
          </w:p>
        </w:tc>
        <w:tc>
          <w:tcPr>
            <w:tcW w:w="920" w:type="dxa"/>
            <w:gridSpan w:val="2"/>
            <w:shd w:val="clear" w:color="auto" w:fill="70AD47" w:themeFill="accent6"/>
            <w:vAlign w:val="center"/>
          </w:tcPr>
          <w:p w14:paraId="03C5D37C" w14:textId="77777777"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FC0CF2" w:rsidRPr="007F03BF" w14:paraId="72BDA755" w14:textId="77777777" w:rsidTr="00FC0CF2">
        <w:tc>
          <w:tcPr>
            <w:tcW w:w="3659" w:type="dxa"/>
          </w:tcPr>
          <w:p w14:paraId="0BCEA7C4" w14:textId="77777777" w:rsidR="00FC0CF2" w:rsidRPr="007F03BF" w:rsidRDefault="00FC0CF2" w:rsidP="00FC0CF2">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121 – Obligaciones Comunes</w:t>
            </w:r>
          </w:p>
        </w:tc>
        <w:tc>
          <w:tcPr>
            <w:tcW w:w="2148" w:type="dxa"/>
            <w:vAlign w:val="center"/>
          </w:tcPr>
          <w:p w14:paraId="1206CC38"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88.05</w:t>
            </w:r>
          </w:p>
        </w:tc>
        <w:tc>
          <w:tcPr>
            <w:tcW w:w="2104" w:type="dxa"/>
            <w:gridSpan w:val="2"/>
            <w:vAlign w:val="center"/>
          </w:tcPr>
          <w:p w14:paraId="29D534CC"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95.15</w:t>
            </w:r>
          </w:p>
        </w:tc>
        <w:tc>
          <w:tcPr>
            <w:tcW w:w="908" w:type="dxa"/>
            <w:vAlign w:val="center"/>
          </w:tcPr>
          <w:p w14:paraId="73572F47"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7.10</w:t>
            </w:r>
          </w:p>
        </w:tc>
      </w:tr>
      <w:tr w:rsidR="00FC0CF2" w:rsidRPr="007F03BF" w14:paraId="6D0E4C55" w14:textId="77777777" w:rsidTr="00FC0CF2">
        <w:tc>
          <w:tcPr>
            <w:tcW w:w="3659" w:type="dxa"/>
          </w:tcPr>
          <w:p w14:paraId="70C9617C" w14:textId="77777777" w:rsidR="00FC0CF2" w:rsidRPr="007F03BF" w:rsidRDefault="00FC0CF2" w:rsidP="00FC0CF2">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122 – Obligaciones Comunes</w:t>
            </w:r>
          </w:p>
        </w:tc>
        <w:tc>
          <w:tcPr>
            <w:tcW w:w="2148" w:type="dxa"/>
            <w:vAlign w:val="center"/>
          </w:tcPr>
          <w:p w14:paraId="78ADCAC1"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88.86</w:t>
            </w:r>
          </w:p>
        </w:tc>
        <w:tc>
          <w:tcPr>
            <w:tcW w:w="2104" w:type="dxa"/>
            <w:gridSpan w:val="2"/>
            <w:vAlign w:val="center"/>
          </w:tcPr>
          <w:p w14:paraId="3E483FEE"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95.37</w:t>
            </w:r>
          </w:p>
        </w:tc>
        <w:tc>
          <w:tcPr>
            <w:tcW w:w="908" w:type="dxa"/>
            <w:vAlign w:val="center"/>
          </w:tcPr>
          <w:p w14:paraId="74C96400"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6.51</w:t>
            </w:r>
          </w:p>
        </w:tc>
      </w:tr>
      <w:tr w:rsidR="00FC0CF2" w:rsidRPr="007F03BF" w14:paraId="276AA6EA" w14:textId="77777777" w:rsidTr="00FC0CF2">
        <w:tc>
          <w:tcPr>
            <w:tcW w:w="3659" w:type="dxa"/>
          </w:tcPr>
          <w:p w14:paraId="58934E4A" w14:textId="77777777" w:rsidR="00FC0CF2" w:rsidRPr="007F03BF" w:rsidRDefault="00FC0CF2" w:rsidP="00FC0CF2">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124 – Obligaciones Específicas de las Demarcaciones Territoriales</w:t>
            </w:r>
          </w:p>
        </w:tc>
        <w:tc>
          <w:tcPr>
            <w:tcW w:w="2148" w:type="dxa"/>
            <w:vAlign w:val="center"/>
          </w:tcPr>
          <w:p w14:paraId="262F5F00"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82.81</w:t>
            </w:r>
          </w:p>
        </w:tc>
        <w:tc>
          <w:tcPr>
            <w:tcW w:w="2104" w:type="dxa"/>
            <w:gridSpan w:val="2"/>
            <w:vAlign w:val="center"/>
          </w:tcPr>
          <w:p w14:paraId="025C4EFB"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91.36</w:t>
            </w:r>
          </w:p>
        </w:tc>
        <w:tc>
          <w:tcPr>
            <w:tcW w:w="908" w:type="dxa"/>
            <w:vAlign w:val="center"/>
          </w:tcPr>
          <w:p w14:paraId="2A4EADB4"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8.54</w:t>
            </w:r>
          </w:p>
        </w:tc>
      </w:tr>
      <w:tr w:rsidR="00FC0CF2" w:rsidRPr="007F03BF" w14:paraId="1B3873A1" w14:textId="77777777" w:rsidTr="00FC0CF2">
        <w:tc>
          <w:tcPr>
            <w:tcW w:w="3659" w:type="dxa"/>
          </w:tcPr>
          <w:p w14:paraId="4192254A" w14:textId="77777777" w:rsidR="00FC0CF2" w:rsidRPr="007F03BF" w:rsidRDefault="00FC0CF2" w:rsidP="00FC0CF2">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 xml:space="preserve">143 – Obra Pública </w:t>
            </w:r>
          </w:p>
        </w:tc>
        <w:tc>
          <w:tcPr>
            <w:tcW w:w="2148" w:type="dxa"/>
            <w:vAlign w:val="center"/>
          </w:tcPr>
          <w:p w14:paraId="1EAD7043"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94.06</w:t>
            </w:r>
          </w:p>
        </w:tc>
        <w:tc>
          <w:tcPr>
            <w:tcW w:w="2104" w:type="dxa"/>
            <w:gridSpan w:val="2"/>
            <w:vAlign w:val="center"/>
          </w:tcPr>
          <w:p w14:paraId="7EB86EC9"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100.00</w:t>
            </w:r>
          </w:p>
        </w:tc>
        <w:tc>
          <w:tcPr>
            <w:tcW w:w="908" w:type="dxa"/>
            <w:vAlign w:val="center"/>
          </w:tcPr>
          <w:p w14:paraId="047F1AEC"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5.94</w:t>
            </w:r>
          </w:p>
        </w:tc>
      </w:tr>
      <w:tr w:rsidR="00FC0CF2" w:rsidRPr="007F03BF" w14:paraId="22A6B976" w14:textId="77777777" w:rsidTr="00FC0CF2">
        <w:tc>
          <w:tcPr>
            <w:tcW w:w="3659" w:type="dxa"/>
          </w:tcPr>
          <w:p w14:paraId="5FB89B30" w14:textId="77777777" w:rsidR="00FC0CF2" w:rsidRPr="007F03BF" w:rsidRDefault="00FC0CF2" w:rsidP="00FC0CF2">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145 – Portal de Transparencia</w:t>
            </w:r>
          </w:p>
        </w:tc>
        <w:tc>
          <w:tcPr>
            <w:tcW w:w="2148" w:type="dxa"/>
            <w:vAlign w:val="center"/>
          </w:tcPr>
          <w:p w14:paraId="48266704"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99.61</w:t>
            </w:r>
          </w:p>
        </w:tc>
        <w:tc>
          <w:tcPr>
            <w:tcW w:w="2104" w:type="dxa"/>
            <w:gridSpan w:val="2"/>
            <w:vAlign w:val="center"/>
          </w:tcPr>
          <w:p w14:paraId="044AD17C"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97.62</w:t>
            </w:r>
          </w:p>
        </w:tc>
        <w:tc>
          <w:tcPr>
            <w:tcW w:w="908" w:type="dxa"/>
            <w:vAlign w:val="center"/>
          </w:tcPr>
          <w:p w14:paraId="45532B08"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-1.99</w:t>
            </w:r>
          </w:p>
        </w:tc>
      </w:tr>
      <w:tr w:rsidR="00FC0CF2" w:rsidRPr="007F03BF" w14:paraId="53B50CB5" w14:textId="77777777" w:rsidTr="00FC0CF2">
        <w:tc>
          <w:tcPr>
            <w:tcW w:w="3659" w:type="dxa"/>
          </w:tcPr>
          <w:p w14:paraId="71259864" w14:textId="77777777" w:rsidR="00FC0CF2" w:rsidRPr="007F03BF" w:rsidRDefault="00FC0CF2" w:rsidP="00FC0CF2">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146 – Calendario de actualización</w:t>
            </w:r>
          </w:p>
        </w:tc>
        <w:tc>
          <w:tcPr>
            <w:tcW w:w="2148" w:type="dxa"/>
            <w:vAlign w:val="center"/>
          </w:tcPr>
          <w:p w14:paraId="4A541AD4"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92.5</w:t>
            </w:r>
          </w:p>
        </w:tc>
        <w:tc>
          <w:tcPr>
            <w:tcW w:w="2104" w:type="dxa"/>
            <w:gridSpan w:val="2"/>
            <w:vAlign w:val="center"/>
          </w:tcPr>
          <w:p w14:paraId="17962371"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100.00</w:t>
            </w:r>
          </w:p>
        </w:tc>
        <w:tc>
          <w:tcPr>
            <w:tcW w:w="908" w:type="dxa"/>
            <w:vAlign w:val="center"/>
          </w:tcPr>
          <w:p w14:paraId="75DA5328"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7.50</w:t>
            </w:r>
          </w:p>
        </w:tc>
      </w:tr>
      <w:tr w:rsidR="00FC0CF2" w:rsidRPr="007F03BF" w14:paraId="56C380AB" w14:textId="77777777" w:rsidTr="00FC0CF2">
        <w:tc>
          <w:tcPr>
            <w:tcW w:w="3659" w:type="dxa"/>
          </w:tcPr>
          <w:p w14:paraId="63B55A3D" w14:textId="77777777" w:rsidR="00FC0CF2" w:rsidRPr="007F03BF" w:rsidRDefault="00FC0CF2" w:rsidP="00FC0CF2">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 xml:space="preserve">147 – Informes respecto de recursos otorgados por el sujeto obligado a terceros </w:t>
            </w:r>
          </w:p>
        </w:tc>
        <w:tc>
          <w:tcPr>
            <w:tcW w:w="2148" w:type="dxa"/>
            <w:vAlign w:val="center"/>
          </w:tcPr>
          <w:p w14:paraId="3F53B1DF"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77.79</w:t>
            </w:r>
          </w:p>
        </w:tc>
        <w:tc>
          <w:tcPr>
            <w:tcW w:w="2104" w:type="dxa"/>
            <w:gridSpan w:val="2"/>
            <w:vAlign w:val="center"/>
          </w:tcPr>
          <w:p w14:paraId="08DB9E71"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89.57</w:t>
            </w:r>
          </w:p>
        </w:tc>
        <w:tc>
          <w:tcPr>
            <w:tcW w:w="908" w:type="dxa"/>
            <w:vAlign w:val="center"/>
          </w:tcPr>
          <w:p w14:paraId="6C5A1423" w14:textId="77777777" w:rsidR="00FC0CF2" w:rsidRPr="007F03BF" w:rsidRDefault="00FC0CF2" w:rsidP="00FC0CF2">
            <w:pPr>
              <w:jc w:val="center"/>
              <w:rPr>
                <w:rFonts w:ascii="Arial" w:hAnsi="Arial" w:cs="Arial"/>
                <w:color w:val="000000"/>
                <w:sz w:val="20"/>
                <w:szCs w:val="20"/>
              </w:rPr>
            </w:pPr>
            <w:r w:rsidRPr="007F03BF">
              <w:rPr>
                <w:rFonts w:ascii="Arial" w:hAnsi="Arial" w:cs="Arial"/>
                <w:color w:val="000000"/>
                <w:sz w:val="20"/>
                <w:szCs w:val="20"/>
              </w:rPr>
              <w:t>11.78</w:t>
            </w:r>
          </w:p>
        </w:tc>
      </w:tr>
    </w:tbl>
    <w:p w14:paraId="252C0700" w14:textId="77777777" w:rsidR="00F64E7A" w:rsidRPr="007F03BF" w:rsidRDefault="00F64E7A" w:rsidP="00F64E7A">
      <w:pPr>
        <w:spacing w:before="100" w:beforeAutospacing="1" w:after="100" w:afterAutospacing="1" w:line="360" w:lineRule="auto"/>
        <w:contextualSpacing/>
        <w:jc w:val="both"/>
        <w:rPr>
          <w:rFonts w:ascii="Arial" w:hAnsi="Arial" w:cs="Arial"/>
        </w:rPr>
      </w:pPr>
    </w:p>
    <w:p w14:paraId="25154D8A" w14:textId="77777777" w:rsidR="004D62A7" w:rsidRPr="007F03BF" w:rsidRDefault="00F64E7A" w:rsidP="00F64E7A">
      <w:pPr>
        <w:spacing w:before="100" w:beforeAutospacing="1" w:after="100" w:afterAutospacing="1" w:line="360" w:lineRule="auto"/>
        <w:contextualSpacing/>
        <w:jc w:val="both"/>
        <w:rPr>
          <w:rFonts w:ascii="Arial" w:hAnsi="Arial" w:cs="Arial"/>
        </w:rPr>
      </w:pPr>
      <w:r w:rsidRPr="007F03BF">
        <w:rPr>
          <w:rFonts w:ascii="Arial" w:hAnsi="Arial" w:cs="Arial"/>
        </w:rPr>
        <w:t xml:space="preserve">Del comparativo anteriormente plasmado, se puede apreciar que este ámbito tuvo un incremento sustantivo en </w:t>
      </w:r>
      <w:r w:rsidR="00FC0CF2" w:rsidRPr="007F03BF">
        <w:rPr>
          <w:rFonts w:ascii="Arial" w:hAnsi="Arial" w:cs="Arial"/>
        </w:rPr>
        <w:t>la mayoría de</w:t>
      </w:r>
      <w:r w:rsidRPr="007F03BF">
        <w:rPr>
          <w:rFonts w:ascii="Arial" w:hAnsi="Arial" w:cs="Arial"/>
        </w:rPr>
        <w:t xml:space="preserve"> sus índices por artículo</w:t>
      </w:r>
      <w:r w:rsidR="004D62A7" w:rsidRPr="007F03BF">
        <w:rPr>
          <w:rFonts w:ascii="Arial" w:hAnsi="Arial" w:cs="Arial"/>
        </w:rPr>
        <w:t xml:space="preserve">; de igual forma, el ICP de </w:t>
      </w:r>
      <w:r w:rsidR="00FC0CF2" w:rsidRPr="007F03BF">
        <w:rPr>
          <w:rFonts w:ascii="Arial" w:hAnsi="Arial" w:cs="Arial"/>
        </w:rPr>
        <w:t>dos artículos tuvo un cumplimiento total y el índice de cinco artículos</w:t>
      </w:r>
      <w:r w:rsidR="004D62A7" w:rsidRPr="007F03BF">
        <w:rPr>
          <w:rFonts w:ascii="Arial" w:hAnsi="Arial" w:cs="Arial"/>
        </w:rPr>
        <w:t xml:space="preserve"> un cumplimiento parcial. </w:t>
      </w:r>
    </w:p>
    <w:p w14:paraId="3D4C6600" w14:textId="77777777" w:rsidR="004D62A7" w:rsidRPr="007F03BF" w:rsidRDefault="004D62A7" w:rsidP="00F64E7A">
      <w:pPr>
        <w:spacing w:before="100" w:beforeAutospacing="1" w:after="100" w:afterAutospacing="1" w:line="360" w:lineRule="auto"/>
        <w:contextualSpacing/>
        <w:jc w:val="both"/>
        <w:rPr>
          <w:rFonts w:ascii="Arial" w:hAnsi="Arial" w:cs="Arial"/>
        </w:rPr>
      </w:pPr>
    </w:p>
    <w:p w14:paraId="36F1D0B0" w14:textId="77777777" w:rsidR="004D62A7" w:rsidRPr="007F03BF" w:rsidRDefault="00501317" w:rsidP="00F64E7A">
      <w:pPr>
        <w:spacing w:before="100" w:beforeAutospacing="1" w:after="100" w:afterAutospacing="1" w:line="360" w:lineRule="auto"/>
        <w:contextualSpacing/>
        <w:jc w:val="both"/>
        <w:rPr>
          <w:rFonts w:ascii="Arial" w:hAnsi="Arial" w:cs="Arial"/>
        </w:rPr>
      </w:pPr>
      <w:r w:rsidRPr="007F03BF">
        <w:rPr>
          <w:rFonts w:ascii="Arial" w:hAnsi="Arial" w:cs="Arial"/>
        </w:rPr>
        <w:t xml:space="preserve">En lo que respecta a las obligaciones comunes, pasó de tener un ICP entre </w:t>
      </w:r>
      <w:r w:rsidR="00FC0CF2" w:rsidRPr="007F03BF">
        <w:rPr>
          <w:rFonts w:ascii="Arial" w:hAnsi="Arial" w:cs="Arial"/>
        </w:rPr>
        <w:t>88</w:t>
      </w:r>
      <w:r w:rsidRPr="007F03BF">
        <w:rPr>
          <w:rFonts w:ascii="Arial" w:hAnsi="Arial" w:cs="Arial"/>
        </w:rPr>
        <w:t xml:space="preserve">% </w:t>
      </w:r>
      <w:r w:rsidR="00FC0CF2" w:rsidRPr="007F03BF">
        <w:rPr>
          <w:rFonts w:ascii="Arial" w:hAnsi="Arial" w:cs="Arial"/>
        </w:rPr>
        <w:t xml:space="preserve">y 89% </w:t>
      </w:r>
      <w:r w:rsidRPr="007F03BF">
        <w:rPr>
          <w:rFonts w:ascii="Arial" w:hAnsi="Arial" w:cs="Arial"/>
        </w:rPr>
        <w:t>a un IGOT de 9</w:t>
      </w:r>
      <w:r w:rsidR="00FC0CF2" w:rsidRPr="007F03BF">
        <w:rPr>
          <w:rFonts w:ascii="Arial" w:hAnsi="Arial" w:cs="Arial"/>
        </w:rPr>
        <w:t>5</w:t>
      </w:r>
      <w:r w:rsidRPr="007F03BF">
        <w:rPr>
          <w:rFonts w:ascii="Arial" w:hAnsi="Arial" w:cs="Arial"/>
        </w:rPr>
        <w:t>%</w:t>
      </w:r>
      <w:r w:rsidR="00FC0CF2" w:rsidRPr="007F03BF">
        <w:rPr>
          <w:rFonts w:ascii="Arial" w:hAnsi="Arial" w:cs="Arial"/>
        </w:rPr>
        <w:t xml:space="preserve"> y 96%</w:t>
      </w:r>
      <w:r w:rsidRPr="007F03BF">
        <w:rPr>
          <w:rFonts w:ascii="Arial" w:hAnsi="Arial" w:cs="Arial"/>
        </w:rPr>
        <w:t xml:space="preserve">; por lo que tuvo un incremento promedio de </w:t>
      </w:r>
      <w:r w:rsidR="00FC0CF2" w:rsidRPr="007F03BF">
        <w:rPr>
          <w:rFonts w:ascii="Arial" w:hAnsi="Arial" w:cs="Arial"/>
        </w:rPr>
        <w:t>6.8</w:t>
      </w:r>
      <w:r w:rsidRPr="007F03BF">
        <w:rPr>
          <w:rFonts w:ascii="Arial" w:hAnsi="Arial" w:cs="Arial"/>
        </w:rPr>
        <w:t xml:space="preserve"> puntos. Sobre las obligaciones específicas, las Demarcaciones tuvieron un incremento de </w:t>
      </w:r>
      <w:r w:rsidR="002F0385" w:rsidRPr="007F03BF">
        <w:rPr>
          <w:rFonts w:ascii="Arial" w:hAnsi="Arial" w:cs="Arial"/>
        </w:rPr>
        <w:t>8.54</w:t>
      </w:r>
      <w:r w:rsidRPr="007F03BF">
        <w:rPr>
          <w:rFonts w:ascii="Arial" w:hAnsi="Arial" w:cs="Arial"/>
        </w:rPr>
        <w:t xml:space="preserve"> puntos, pasando de un ICP de </w:t>
      </w:r>
      <w:r w:rsidR="002F0385" w:rsidRPr="007F03BF">
        <w:rPr>
          <w:rFonts w:ascii="Arial" w:hAnsi="Arial" w:cs="Arial"/>
        </w:rPr>
        <w:t>82</w:t>
      </w:r>
      <w:r w:rsidRPr="007F03BF">
        <w:rPr>
          <w:rFonts w:ascii="Arial" w:hAnsi="Arial" w:cs="Arial"/>
        </w:rPr>
        <w:t>.</w:t>
      </w:r>
      <w:r w:rsidR="002F0385" w:rsidRPr="007F03BF">
        <w:rPr>
          <w:rFonts w:ascii="Arial" w:hAnsi="Arial" w:cs="Arial"/>
        </w:rPr>
        <w:t>81</w:t>
      </w:r>
      <w:r w:rsidRPr="007F03BF">
        <w:rPr>
          <w:rFonts w:ascii="Arial" w:hAnsi="Arial" w:cs="Arial"/>
        </w:rPr>
        <w:t xml:space="preserve">% a un ICP de </w:t>
      </w:r>
      <w:r w:rsidR="002F0385" w:rsidRPr="007F03BF">
        <w:rPr>
          <w:rFonts w:ascii="Arial" w:hAnsi="Arial" w:cs="Arial"/>
        </w:rPr>
        <w:t>91</w:t>
      </w:r>
      <w:r w:rsidRPr="007F03BF">
        <w:rPr>
          <w:rFonts w:ascii="Arial" w:hAnsi="Arial" w:cs="Arial"/>
        </w:rPr>
        <w:t>.</w:t>
      </w:r>
      <w:r w:rsidR="002F0385" w:rsidRPr="007F03BF">
        <w:rPr>
          <w:rFonts w:ascii="Arial" w:hAnsi="Arial" w:cs="Arial"/>
        </w:rPr>
        <w:t>36</w:t>
      </w:r>
      <w:r w:rsidRPr="007F03BF">
        <w:rPr>
          <w:rFonts w:ascii="Arial" w:hAnsi="Arial" w:cs="Arial"/>
        </w:rPr>
        <w:t>%</w:t>
      </w:r>
      <w:r w:rsidR="004D62A7" w:rsidRPr="007F03BF">
        <w:rPr>
          <w:rFonts w:ascii="Arial" w:hAnsi="Arial" w:cs="Arial"/>
        </w:rPr>
        <w:t>; por lo que aun hay presente</w:t>
      </w:r>
      <w:r w:rsidR="00D71D7B" w:rsidRPr="007F03BF">
        <w:rPr>
          <w:rFonts w:ascii="Arial" w:hAnsi="Arial" w:cs="Arial"/>
        </w:rPr>
        <w:t>s</w:t>
      </w:r>
      <w:r w:rsidR="004D62A7" w:rsidRPr="007F03BF">
        <w:rPr>
          <w:rFonts w:ascii="Arial" w:hAnsi="Arial" w:cs="Arial"/>
        </w:rPr>
        <w:t xml:space="preserve"> varias áreas de oportunidad que atender por parte de las Demarcaciones en sus Portales Institucionales y en la Plataforma Nacional de Transparencia. </w:t>
      </w:r>
      <w:r w:rsidR="00F64E7A" w:rsidRPr="007F03BF">
        <w:rPr>
          <w:rFonts w:ascii="Arial" w:hAnsi="Arial" w:cs="Arial"/>
        </w:rPr>
        <w:t xml:space="preserve">Por último, </w:t>
      </w:r>
      <w:r w:rsidR="004D62A7" w:rsidRPr="007F03BF">
        <w:rPr>
          <w:rFonts w:ascii="Arial" w:hAnsi="Arial" w:cs="Arial"/>
        </w:rPr>
        <w:t xml:space="preserve">las disposiciones particulares tuvieron un incremento promedio de </w:t>
      </w:r>
      <w:r w:rsidR="002F0385" w:rsidRPr="007F03BF">
        <w:rPr>
          <w:rFonts w:ascii="Arial" w:hAnsi="Arial" w:cs="Arial"/>
        </w:rPr>
        <w:t>5.7</w:t>
      </w:r>
      <w:r w:rsidR="004D62A7" w:rsidRPr="007F03BF">
        <w:rPr>
          <w:rFonts w:ascii="Arial" w:hAnsi="Arial" w:cs="Arial"/>
        </w:rPr>
        <w:t xml:space="preserve">%, encontrándose su ICP entre 89% y </w:t>
      </w:r>
      <w:r w:rsidR="002F0385" w:rsidRPr="007F03BF">
        <w:rPr>
          <w:rFonts w:ascii="Arial" w:hAnsi="Arial" w:cs="Arial"/>
        </w:rPr>
        <w:t>100</w:t>
      </w:r>
      <w:r w:rsidR="004D62A7" w:rsidRPr="007F03BF">
        <w:rPr>
          <w:rFonts w:ascii="Arial" w:hAnsi="Arial" w:cs="Arial"/>
        </w:rPr>
        <w:t>%. Es pertinente resaltar que la</w:t>
      </w:r>
      <w:r w:rsidR="002F0385" w:rsidRPr="007F03BF">
        <w:rPr>
          <w:rFonts w:ascii="Arial" w:hAnsi="Arial" w:cs="Arial"/>
        </w:rPr>
        <w:t>s</w:t>
      </w:r>
      <w:r w:rsidR="004D62A7" w:rsidRPr="007F03BF">
        <w:rPr>
          <w:rFonts w:ascii="Arial" w:hAnsi="Arial" w:cs="Arial"/>
        </w:rPr>
        <w:t xml:space="preserve"> disposici</w:t>
      </w:r>
      <w:r w:rsidR="002F0385" w:rsidRPr="007F03BF">
        <w:rPr>
          <w:rFonts w:ascii="Arial" w:hAnsi="Arial" w:cs="Arial"/>
        </w:rPr>
        <w:t xml:space="preserve">ones </w:t>
      </w:r>
      <w:r w:rsidR="004D62A7" w:rsidRPr="007F03BF">
        <w:rPr>
          <w:rFonts w:ascii="Arial" w:hAnsi="Arial" w:cs="Arial"/>
        </w:rPr>
        <w:t>particular</w:t>
      </w:r>
      <w:r w:rsidR="002F0385" w:rsidRPr="007F03BF">
        <w:rPr>
          <w:rFonts w:ascii="Arial" w:hAnsi="Arial" w:cs="Arial"/>
        </w:rPr>
        <w:t>es</w:t>
      </w:r>
      <w:r w:rsidR="004D62A7" w:rsidRPr="007F03BF">
        <w:rPr>
          <w:rFonts w:ascii="Arial" w:hAnsi="Arial" w:cs="Arial"/>
        </w:rPr>
        <w:t xml:space="preserve"> consistente</w:t>
      </w:r>
      <w:r w:rsidR="002F0385" w:rsidRPr="007F03BF">
        <w:rPr>
          <w:rFonts w:ascii="Arial" w:hAnsi="Arial" w:cs="Arial"/>
        </w:rPr>
        <w:t>s</w:t>
      </w:r>
      <w:r w:rsidR="004D62A7" w:rsidRPr="007F03BF">
        <w:rPr>
          <w:rFonts w:ascii="Arial" w:hAnsi="Arial" w:cs="Arial"/>
        </w:rPr>
        <w:t xml:space="preserve"> en publicar</w:t>
      </w:r>
      <w:r w:rsidR="002F0385" w:rsidRPr="007F03BF">
        <w:rPr>
          <w:rFonts w:ascii="Arial" w:hAnsi="Arial" w:cs="Arial"/>
        </w:rPr>
        <w:t xml:space="preserve"> la información relativa a las obras públicas y</w:t>
      </w:r>
      <w:r w:rsidR="004D62A7" w:rsidRPr="007F03BF">
        <w:rPr>
          <w:rFonts w:ascii="Arial" w:hAnsi="Arial" w:cs="Arial"/>
        </w:rPr>
        <w:t xml:space="preserve"> el calendario de actualización de las obligaciones de transparencia pasó de tener un incumplimiento parcial </w:t>
      </w:r>
      <w:r w:rsidR="002F0385" w:rsidRPr="007F03BF">
        <w:rPr>
          <w:rFonts w:ascii="Arial" w:hAnsi="Arial" w:cs="Arial"/>
        </w:rPr>
        <w:t xml:space="preserve">entre 92% y 94% a un </w:t>
      </w:r>
      <w:r w:rsidR="004D62A7" w:rsidRPr="007F03BF">
        <w:rPr>
          <w:rFonts w:ascii="Arial" w:hAnsi="Arial" w:cs="Arial"/>
        </w:rPr>
        <w:t xml:space="preserve">cumplimiento </w:t>
      </w:r>
      <w:r w:rsidR="002F0385" w:rsidRPr="007F03BF">
        <w:rPr>
          <w:rFonts w:ascii="Arial" w:hAnsi="Arial" w:cs="Arial"/>
        </w:rPr>
        <w:t xml:space="preserve">total. </w:t>
      </w:r>
      <w:r w:rsidR="004D62A7" w:rsidRPr="007F03BF">
        <w:rPr>
          <w:rFonts w:ascii="Arial" w:hAnsi="Arial" w:cs="Arial"/>
        </w:rPr>
        <w:t xml:space="preserve"> </w:t>
      </w:r>
    </w:p>
    <w:p w14:paraId="75DFBCBC" w14:textId="77777777" w:rsidR="004D62A7" w:rsidRPr="007F03BF" w:rsidRDefault="004D62A7" w:rsidP="00F64E7A">
      <w:pPr>
        <w:spacing w:before="100" w:beforeAutospacing="1" w:after="100" w:afterAutospacing="1" w:line="360" w:lineRule="auto"/>
        <w:contextualSpacing/>
        <w:jc w:val="both"/>
        <w:rPr>
          <w:rFonts w:ascii="Arial" w:hAnsi="Arial" w:cs="Arial"/>
        </w:rPr>
      </w:pPr>
    </w:p>
    <w:p w14:paraId="23587F78" w14:textId="77777777" w:rsidR="00F64E7A" w:rsidRPr="007F03BF" w:rsidRDefault="00F64E7A" w:rsidP="00F64E7A">
      <w:pPr>
        <w:spacing w:before="100" w:beforeAutospacing="1" w:after="100" w:afterAutospacing="1" w:line="360" w:lineRule="auto"/>
        <w:contextualSpacing/>
        <w:jc w:val="both"/>
        <w:rPr>
          <w:rFonts w:ascii="Arial" w:hAnsi="Arial" w:cs="Arial"/>
        </w:rPr>
      </w:pPr>
      <w:r w:rsidRPr="007F03BF">
        <w:rPr>
          <w:rFonts w:ascii="Arial" w:hAnsi="Arial" w:cs="Arial"/>
        </w:rPr>
        <w:t xml:space="preserve">El Poder </w:t>
      </w:r>
      <w:r w:rsidR="004D62A7" w:rsidRPr="007F03BF">
        <w:rPr>
          <w:rFonts w:ascii="Arial" w:hAnsi="Arial" w:cs="Arial"/>
        </w:rPr>
        <w:t>Ejecutivo – Demarcaciones Territoriales</w:t>
      </w:r>
      <w:r w:rsidRPr="007F03BF">
        <w:rPr>
          <w:rFonts w:ascii="Arial" w:hAnsi="Arial" w:cs="Arial"/>
        </w:rPr>
        <w:t xml:space="preserve"> obtuvo un incremento promedio en su índice por artículo de </w:t>
      </w:r>
      <w:r w:rsidR="000A408A" w:rsidRPr="007F03BF">
        <w:rPr>
          <w:rFonts w:ascii="Arial" w:hAnsi="Arial" w:cs="Arial"/>
        </w:rPr>
        <w:t xml:space="preserve">6.48 </w:t>
      </w:r>
      <w:r w:rsidR="00900995" w:rsidRPr="007F03BF">
        <w:rPr>
          <w:rFonts w:ascii="Arial" w:hAnsi="Arial" w:cs="Arial"/>
        </w:rPr>
        <w:t>puntos</w:t>
      </w:r>
      <w:r w:rsidRPr="007F03BF">
        <w:rPr>
          <w:rFonts w:ascii="Arial" w:hAnsi="Arial" w:cs="Arial"/>
        </w:rPr>
        <w:t>.</w:t>
      </w:r>
    </w:p>
    <w:p w14:paraId="151EEC26" w14:textId="77777777" w:rsidR="00F64E7A" w:rsidRPr="007F03BF" w:rsidRDefault="00F64E7A" w:rsidP="00F64E7A">
      <w:pPr>
        <w:spacing w:before="100" w:beforeAutospacing="1" w:after="100" w:afterAutospacing="1" w:line="360" w:lineRule="auto"/>
        <w:contextualSpacing/>
        <w:jc w:val="both"/>
        <w:rPr>
          <w:rFonts w:ascii="Arial" w:hAnsi="Arial" w:cs="Arial"/>
        </w:rPr>
      </w:pPr>
    </w:p>
    <w:p w14:paraId="5E562134" w14:textId="77777777" w:rsidR="00F64E7A" w:rsidRPr="007F03BF" w:rsidRDefault="00F64E7A" w:rsidP="00F64E7A">
      <w:pPr>
        <w:spacing w:before="100" w:beforeAutospacing="1" w:after="100" w:afterAutospacing="1" w:line="360" w:lineRule="auto"/>
        <w:contextualSpacing/>
        <w:jc w:val="both"/>
        <w:rPr>
          <w:rFonts w:ascii="Arial" w:hAnsi="Arial" w:cs="Arial"/>
          <w:b/>
          <w:bCs/>
        </w:rPr>
      </w:pPr>
      <w:r w:rsidRPr="007F03BF">
        <w:rPr>
          <w:rFonts w:ascii="Arial" w:hAnsi="Arial" w:cs="Arial"/>
          <w:b/>
          <w:bCs/>
        </w:rPr>
        <w:t xml:space="preserve">Comparativo de índices entre la </w:t>
      </w:r>
      <w:r w:rsidR="000A408A" w:rsidRPr="007F03BF">
        <w:rPr>
          <w:rFonts w:ascii="Arial" w:hAnsi="Arial" w:cs="Arial"/>
          <w:b/>
          <w:bCs/>
        </w:rPr>
        <w:t>Segunda</w:t>
      </w:r>
      <w:r w:rsidRPr="007F03BF">
        <w:rPr>
          <w:rFonts w:ascii="Arial" w:hAnsi="Arial" w:cs="Arial"/>
          <w:b/>
          <w:bCs/>
        </w:rPr>
        <w:t xml:space="preserve"> Evaluación Vinculante 2019 y la </w:t>
      </w:r>
      <w:r w:rsidR="000A408A" w:rsidRPr="007F03BF">
        <w:rPr>
          <w:rFonts w:ascii="Arial" w:hAnsi="Arial" w:cs="Arial"/>
          <w:b/>
          <w:bCs/>
        </w:rPr>
        <w:t xml:space="preserve">Primera </w:t>
      </w:r>
      <w:r w:rsidRPr="007F03BF">
        <w:rPr>
          <w:rFonts w:ascii="Arial" w:hAnsi="Arial" w:cs="Arial"/>
          <w:b/>
          <w:bCs/>
        </w:rPr>
        <w:t>Evaluación Vinculante 20</w:t>
      </w:r>
      <w:r w:rsidR="000A408A" w:rsidRPr="007F03BF">
        <w:rPr>
          <w:rFonts w:ascii="Arial" w:hAnsi="Arial" w:cs="Arial"/>
          <w:b/>
          <w:bCs/>
        </w:rPr>
        <w:t>20</w:t>
      </w:r>
    </w:p>
    <w:tbl>
      <w:tblPr>
        <w:tblW w:w="9067" w:type="dxa"/>
        <w:tblLayout w:type="fixed"/>
        <w:tblCellMar>
          <w:left w:w="70" w:type="dxa"/>
          <w:right w:w="70" w:type="dxa"/>
        </w:tblCellMar>
        <w:tblLook w:val="04A0" w:firstRow="1" w:lastRow="0" w:firstColumn="1" w:lastColumn="0" w:noHBand="0" w:noVBand="1"/>
      </w:tblPr>
      <w:tblGrid>
        <w:gridCol w:w="463"/>
        <w:gridCol w:w="4210"/>
        <w:gridCol w:w="1701"/>
        <w:gridCol w:w="1703"/>
        <w:gridCol w:w="990"/>
      </w:tblGrid>
      <w:tr w:rsidR="00F64E7A" w:rsidRPr="007F03BF" w14:paraId="4C786C84" w14:textId="77777777" w:rsidTr="008C4FD7">
        <w:trPr>
          <w:trHeight w:val="86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2944B8F6" w14:textId="77777777" w:rsidR="00F64E7A" w:rsidRPr="007F03BF" w:rsidRDefault="00167A2D" w:rsidP="00D23BCA">
            <w:pPr>
              <w:jc w:val="center"/>
              <w:rPr>
                <w:rFonts w:ascii="Arial" w:hAnsi="Arial" w:cs="Arial"/>
                <w:b/>
                <w:bCs/>
                <w:color w:val="000000"/>
                <w:sz w:val="20"/>
                <w:szCs w:val="20"/>
              </w:rPr>
            </w:pPr>
            <w:r w:rsidRPr="007F03BF">
              <w:rPr>
                <w:rFonts w:ascii="Arial" w:hAnsi="Arial" w:cs="Arial"/>
                <w:b/>
                <w:bCs/>
                <w:color w:val="000000" w:themeColor="text1"/>
                <w:sz w:val="20"/>
                <w:szCs w:val="20"/>
              </w:rPr>
              <w:t>Resultados de la Primera Evaluación Vinculante 2020, respecto de las recomendaciones y observaciones de la Segunda Evaluación Vinculante 2019</w:t>
            </w:r>
          </w:p>
        </w:tc>
      </w:tr>
      <w:tr w:rsidR="00167A2D" w:rsidRPr="007F03BF" w14:paraId="1FF58CE9" w14:textId="77777777" w:rsidTr="008C4FD7">
        <w:trPr>
          <w:trHeight w:val="340"/>
          <w:tblHeader/>
        </w:trPr>
        <w:tc>
          <w:tcPr>
            <w:tcW w:w="463" w:type="dxa"/>
            <w:tcBorders>
              <w:top w:val="nil"/>
              <w:left w:val="single" w:sz="4" w:space="0" w:color="auto"/>
              <w:bottom w:val="single" w:sz="4" w:space="0" w:color="auto"/>
              <w:right w:val="single" w:sz="4" w:space="0" w:color="auto"/>
            </w:tcBorders>
            <w:shd w:val="clear" w:color="auto" w:fill="70AD47" w:themeFill="accent6"/>
            <w:vAlign w:val="center"/>
            <w:hideMark/>
          </w:tcPr>
          <w:p w14:paraId="42E7D1CE" w14:textId="77777777" w:rsidR="00167A2D" w:rsidRPr="007F03BF" w:rsidRDefault="00167A2D" w:rsidP="00167A2D">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No.</w:t>
            </w:r>
          </w:p>
        </w:tc>
        <w:tc>
          <w:tcPr>
            <w:tcW w:w="4210" w:type="dxa"/>
            <w:tcBorders>
              <w:top w:val="nil"/>
              <w:left w:val="nil"/>
              <w:bottom w:val="single" w:sz="4" w:space="0" w:color="auto"/>
              <w:right w:val="single" w:sz="4" w:space="0" w:color="auto"/>
            </w:tcBorders>
            <w:shd w:val="clear" w:color="auto" w:fill="70AD47" w:themeFill="accent6"/>
            <w:vAlign w:val="center"/>
            <w:hideMark/>
          </w:tcPr>
          <w:p w14:paraId="52689B1C" w14:textId="77777777" w:rsidR="00167A2D" w:rsidRPr="007F03BF" w:rsidRDefault="00167A2D" w:rsidP="00167A2D">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Sujeto obligado</w:t>
            </w:r>
          </w:p>
        </w:tc>
        <w:tc>
          <w:tcPr>
            <w:tcW w:w="1701" w:type="dxa"/>
            <w:tcBorders>
              <w:top w:val="nil"/>
              <w:left w:val="nil"/>
              <w:bottom w:val="single" w:sz="4" w:space="0" w:color="auto"/>
              <w:right w:val="single" w:sz="4" w:space="0" w:color="auto"/>
            </w:tcBorders>
            <w:shd w:val="clear" w:color="auto" w:fill="70AD47" w:themeFill="accent6"/>
            <w:vAlign w:val="center"/>
            <w:hideMark/>
          </w:tcPr>
          <w:p w14:paraId="121361C2" w14:textId="77777777" w:rsidR="00167A2D" w:rsidRPr="007F03BF" w:rsidRDefault="00167A2D" w:rsidP="00167A2D">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2a Evaluación Vinculante 2019</w:t>
            </w:r>
          </w:p>
        </w:tc>
        <w:tc>
          <w:tcPr>
            <w:tcW w:w="1703" w:type="dxa"/>
            <w:tcBorders>
              <w:top w:val="nil"/>
              <w:left w:val="nil"/>
              <w:bottom w:val="single" w:sz="4" w:space="0" w:color="auto"/>
              <w:right w:val="single" w:sz="4" w:space="0" w:color="auto"/>
            </w:tcBorders>
            <w:shd w:val="clear" w:color="auto" w:fill="70AD47" w:themeFill="accent6"/>
            <w:vAlign w:val="center"/>
            <w:hideMark/>
          </w:tcPr>
          <w:p w14:paraId="0C9A0820" w14:textId="77777777" w:rsidR="00167A2D" w:rsidRPr="007F03BF" w:rsidRDefault="00167A2D" w:rsidP="00167A2D">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1a Evaluación Vinculante 2020</w:t>
            </w:r>
          </w:p>
        </w:tc>
        <w:tc>
          <w:tcPr>
            <w:tcW w:w="990" w:type="dxa"/>
            <w:tcBorders>
              <w:top w:val="nil"/>
              <w:left w:val="nil"/>
              <w:bottom w:val="single" w:sz="4" w:space="0" w:color="auto"/>
              <w:right w:val="single" w:sz="4" w:space="0" w:color="auto"/>
            </w:tcBorders>
            <w:shd w:val="clear" w:color="auto" w:fill="70AD47" w:themeFill="accent6"/>
            <w:vAlign w:val="center"/>
            <w:hideMark/>
          </w:tcPr>
          <w:p w14:paraId="0C367364" w14:textId="77777777" w:rsidR="00167A2D" w:rsidRPr="007F03BF" w:rsidRDefault="00167A2D" w:rsidP="00167A2D">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205601" w:rsidRPr="007F03BF" w14:paraId="71426FED"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2A2B885C"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1</w:t>
            </w:r>
          </w:p>
        </w:tc>
        <w:tc>
          <w:tcPr>
            <w:tcW w:w="4210" w:type="dxa"/>
            <w:tcBorders>
              <w:top w:val="nil"/>
              <w:left w:val="nil"/>
              <w:bottom w:val="single" w:sz="4" w:space="0" w:color="auto"/>
              <w:right w:val="single" w:sz="4" w:space="0" w:color="auto"/>
            </w:tcBorders>
            <w:shd w:val="clear" w:color="auto" w:fill="auto"/>
            <w:vAlign w:val="center"/>
            <w:hideMark/>
          </w:tcPr>
          <w:p w14:paraId="631AF05C"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Cuauhtémoc.</w:t>
            </w:r>
          </w:p>
        </w:tc>
        <w:tc>
          <w:tcPr>
            <w:tcW w:w="1701" w:type="dxa"/>
            <w:tcBorders>
              <w:top w:val="nil"/>
              <w:left w:val="nil"/>
              <w:bottom w:val="single" w:sz="4" w:space="0" w:color="auto"/>
              <w:right w:val="single" w:sz="4" w:space="0" w:color="auto"/>
            </w:tcBorders>
            <w:shd w:val="clear" w:color="auto" w:fill="auto"/>
            <w:vAlign w:val="center"/>
            <w:hideMark/>
          </w:tcPr>
          <w:p w14:paraId="1B83E971" w14:textId="3D98721F"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97.</w:t>
            </w:r>
            <w:r w:rsidR="00C6090F" w:rsidRPr="007F03BF">
              <w:rPr>
                <w:rFonts w:ascii="Calibri" w:hAnsi="Calibri"/>
                <w:color w:val="000000"/>
                <w:sz w:val="22"/>
                <w:szCs w:val="22"/>
              </w:rPr>
              <w:t>20</w:t>
            </w:r>
          </w:p>
        </w:tc>
        <w:tc>
          <w:tcPr>
            <w:tcW w:w="1703" w:type="dxa"/>
            <w:tcBorders>
              <w:top w:val="nil"/>
              <w:left w:val="nil"/>
              <w:bottom w:val="single" w:sz="4" w:space="0" w:color="auto"/>
              <w:right w:val="single" w:sz="4" w:space="0" w:color="auto"/>
            </w:tcBorders>
            <w:shd w:val="clear" w:color="auto" w:fill="auto"/>
            <w:vAlign w:val="center"/>
            <w:hideMark/>
          </w:tcPr>
          <w:p w14:paraId="2E9F5CBC"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100.00</w:t>
            </w:r>
          </w:p>
        </w:tc>
        <w:tc>
          <w:tcPr>
            <w:tcW w:w="990" w:type="dxa"/>
            <w:tcBorders>
              <w:top w:val="nil"/>
              <w:left w:val="nil"/>
              <w:bottom w:val="single" w:sz="4" w:space="0" w:color="auto"/>
              <w:right w:val="single" w:sz="4" w:space="0" w:color="auto"/>
            </w:tcBorders>
            <w:shd w:val="clear" w:color="auto" w:fill="auto"/>
            <w:vAlign w:val="center"/>
            <w:hideMark/>
          </w:tcPr>
          <w:p w14:paraId="32B5531E" w14:textId="7DA618B2"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2.8</w:t>
            </w:r>
            <w:r w:rsidR="00C6090F" w:rsidRPr="007F03BF">
              <w:rPr>
                <w:rFonts w:ascii="Calibri" w:hAnsi="Calibri"/>
                <w:color w:val="000000"/>
                <w:sz w:val="22"/>
                <w:szCs w:val="22"/>
              </w:rPr>
              <w:t>0</w:t>
            </w:r>
          </w:p>
        </w:tc>
      </w:tr>
      <w:tr w:rsidR="00205601" w:rsidRPr="007F03BF" w14:paraId="2D623C22"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1CCCC29F"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2</w:t>
            </w:r>
          </w:p>
        </w:tc>
        <w:tc>
          <w:tcPr>
            <w:tcW w:w="4210" w:type="dxa"/>
            <w:tcBorders>
              <w:top w:val="nil"/>
              <w:left w:val="nil"/>
              <w:bottom w:val="single" w:sz="4" w:space="0" w:color="auto"/>
              <w:right w:val="single" w:sz="4" w:space="0" w:color="auto"/>
            </w:tcBorders>
            <w:shd w:val="clear" w:color="auto" w:fill="auto"/>
            <w:vAlign w:val="center"/>
            <w:hideMark/>
          </w:tcPr>
          <w:p w14:paraId="76531A69"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Tláhuac.</w:t>
            </w:r>
          </w:p>
        </w:tc>
        <w:tc>
          <w:tcPr>
            <w:tcW w:w="1701" w:type="dxa"/>
            <w:tcBorders>
              <w:top w:val="nil"/>
              <w:left w:val="nil"/>
              <w:bottom w:val="single" w:sz="4" w:space="0" w:color="auto"/>
              <w:right w:val="single" w:sz="4" w:space="0" w:color="auto"/>
            </w:tcBorders>
            <w:shd w:val="clear" w:color="auto" w:fill="auto"/>
            <w:vAlign w:val="center"/>
            <w:hideMark/>
          </w:tcPr>
          <w:p w14:paraId="6D292760" w14:textId="09B0DC4D"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99.1</w:t>
            </w:r>
            <w:r w:rsidR="00C6090F" w:rsidRPr="007F03BF">
              <w:rPr>
                <w:rFonts w:ascii="Calibri" w:hAnsi="Calibri"/>
                <w:color w:val="000000"/>
                <w:sz w:val="22"/>
                <w:szCs w:val="22"/>
              </w:rPr>
              <w:t>2</w:t>
            </w:r>
          </w:p>
        </w:tc>
        <w:tc>
          <w:tcPr>
            <w:tcW w:w="1703" w:type="dxa"/>
            <w:tcBorders>
              <w:top w:val="nil"/>
              <w:left w:val="nil"/>
              <w:bottom w:val="single" w:sz="4" w:space="0" w:color="auto"/>
              <w:right w:val="single" w:sz="4" w:space="0" w:color="auto"/>
            </w:tcBorders>
            <w:shd w:val="clear" w:color="auto" w:fill="auto"/>
            <w:vAlign w:val="center"/>
            <w:hideMark/>
          </w:tcPr>
          <w:p w14:paraId="5ED88A2E"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100.00</w:t>
            </w:r>
          </w:p>
        </w:tc>
        <w:tc>
          <w:tcPr>
            <w:tcW w:w="990" w:type="dxa"/>
            <w:tcBorders>
              <w:top w:val="nil"/>
              <w:left w:val="nil"/>
              <w:bottom w:val="single" w:sz="4" w:space="0" w:color="auto"/>
              <w:right w:val="single" w:sz="4" w:space="0" w:color="auto"/>
            </w:tcBorders>
            <w:shd w:val="clear" w:color="auto" w:fill="auto"/>
            <w:vAlign w:val="center"/>
            <w:hideMark/>
          </w:tcPr>
          <w:p w14:paraId="3439EDBD" w14:textId="0FBC114F"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0.8</w:t>
            </w:r>
            <w:r w:rsidR="00C6090F" w:rsidRPr="007F03BF">
              <w:rPr>
                <w:rFonts w:ascii="Calibri" w:hAnsi="Calibri"/>
                <w:color w:val="000000"/>
                <w:sz w:val="22"/>
                <w:szCs w:val="22"/>
              </w:rPr>
              <w:t>8</w:t>
            </w:r>
          </w:p>
        </w:tc>
      </w:tr>
      <w:tr w:rsidR="00205601" w:rsidRPr="007F03BF" w14:paraId="7541FE83"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2CA9C157"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3</w:t>
            </w:r>
          </w:p>
        </w:tc>
        <w:tc>
          <w:tcPr>
            <w:tcW w:w="4210" w:type="dxa"/>
            <w:tcBorders>
              <w:top w:val="nil"/>
              <w:left w:val="nil"/>
              <w:bottom w:val="single" w:sz="4" w:space="0" w:color="auto"/>
              <w:right w:val="single" w:sz="4" w:space="0" w:color="auto"/>
            </w:tcBorders>
            <w:shd w:val="clear" w:color="auto" w:fill="auto"/>
            <w:vAlign w:val="center"/>
            <w:hideMark/>
          </w:tcPr>
          <w:p w14:paraId="076AEA0B"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Venustiano Carranza.</w:t>
            </w:r>
          </w:p>
        </w:tc>
        <w:tc>
          <w:tcPr>
            <w:tcW w:w="1701" w:type="dxa"/>
            <w:tcBorders>
              <w:top w:val="nil"/>
              <w:left w:val="nil"/>
              <w:bottom w:val="single" w:sz="4" w:space="0" w:color="auto"/>
              <w:right w:val="single" w:sz="4" w:space="0" w:color="auto"/>
            </w:tcBorders>
            <w:shd w:val="clear" w:color="auto" w:fill="auto"/>
            <w:vAlign w:val="center"/>
            <w:hideMark/>
          </w:tcPr>
          <w:p w14:paraId="2BA16DC2"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99.47</w:t>
            </w:r>
          </w:p>
        </w:tc>
        <w:tc>
          <w:tcPr>
            <w:tcW w:w="1703" w:type="dxa"/>
            <w:tcBorders>
              <w:top w:val="nil"/>
              <w:left w:val="nil"/>
              <w:bottom w:val="single" w:sz="4" w:space="0" w:color="auto"/>
              <w:right w:val="single" w:sz="4" w:space="0" w:color="auto"/>
            </w:tcBorders>
            <w:shd w:val="clear" w:color="auto" w:fill="auto"/>
            <w:vAlign w:val="center"/>
            <w:hideMark/>
          </w:tcPr>
          <w:p w14:paraId="6AFC6312"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100.00</w:t>
            </w:r>
          </w:p>
        </w:tc>
        <w:tc>
          <w:tcPr>
            <w:tcW w:w="990" w:type="dxa"/>
            <w:tcBorders>
              <w:top w:val="nil"/>
              <w:left w:val="nil"/>
              <w:bottom w:val="single" w:sz="4" w:space="0" w:color="auto"/>
              <w:right w:val="single" w:sz="4" w:space="0" w:color="auto"/>
            </w:tcBorders>
            <w:shd w:val="clear" w:color="auto" w:fill="auto"/>
            <w:vAlign w:val="center"/>
            <w:hideMark/>
          </w:tcPr>
          <w:p w14:paraId="6F71A132"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0.53</w:t>
            </w:r>
          </w:p>
        </w:tc>
      </w:tr>
      <w:tr w:rsidR="00205601" w:rsidRPr="007F03BF" w14:paraId="3F11E564"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7FCDD176"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4</w:t>
            </w:r>
          </w:p>
        </w:tc>
        <w:tc>
          <w:tcPr>
            <w:tcW w:w="4210" w:type="dxa"/>
            <w:tcBorders>
              <w:top w:val="nil"/>
              <w:left w:val="nil"/>
              <w:bottom w:val="single" w:sz="4" w:space="0" w:color="auto"/>
              <w:right w:val="single" w:sz="4" w:space="0" w:color="auto"/>
            </w:tcBorders>
            <w:shd w:val="clear" w:color="auto" w:fill="auto"/>
            <w:vAlign w:val="center"/>
            <w:hideMark/>
          </w:tcPr>
          <w:p w14:paraId="15E98F09"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Iztapalapa.</w:t>
            </w:r>
          </w:p>
        </w:tc>
        <w:tc>
          <w:tcPr>
            <w:tcW w:w="1701" w:type="dxa"/>
            <w:tcBorders>
              <w:top w:val="nil"/>
              <w:left w:val="nil"/>
              <w:bottom w:val="single" w:sz="4" w:space="0" w:color="auto"/>
              <w:right w:val="single" w:sz="4" w:space="0" w:color="auto"/>
            </w:tcBorders>
            <w:shd w:val="clear" w:color="auto" w:fill="auto"/>
            <w:vAlign w:val="center"/>
            <w:hideMark/>
          </w:tcPr>
          <w:p w14:paraId="3C2106CA"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91.71</w:t>
            </w:r>
          </w:p>
        </w:tc>
        <w:tc>
          <w:tcPr>
            <w:tcW w:w="1703" w:type="dxa"/>
            <w:tcBorders>
              <w:top w:val="nil"/>
              <w:left w:val="nil"/>
              <w:bottom w:val="single" w:sz="4" w:space="0" w:color="auto"/>
              <w:right w:val="single" w:sz="4" w:space="0" w:color="auto"/>
            </w:tcBorders>
            <w:shd w:val="clear" w:color="auto" w:fill="auto"/>
            <w:vAlign w:val="center"/>
            <w:hideMark/>
          </w:tcPr>
          <w:p w14:paraId="5A0E47E7"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99.95</w:t>
            </w:r>
          </w:p>
        </w:tc>
        <w:tc>
          <w:tcPr>
            <w:tcW w:w="990" w:type="dxa"/>
            <w:tcBorders>
              <w:top w:val="nil"/>
              <w:left w:val="nil"/>
              <w:bottom w:val="single" w:sz="4" w:space="0" w:color="auto"/>
              <w:right w:val="single" w:sz="4" w:space="0" w:color="auto"/>
            </w:tcBorders>
            <w:shd w:val="clear" w:color="auto" w:fill="auto"/>
            <w:vAlign w:val="center"/>
            <w:hideMark/>
          </w:tcPr>
          <w:p w14:paraId="70E93E8F"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8.24</w:t>
            </w:r>
          </w:p>
        </w:tc>
      </w:tr>
      <w:tr w:rsidR="00205601" w:rsidRPr="007F03BF" w14:paraId="310B3771"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2C9A0778"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lastRenderedPageBreak/>
              <w:t>5</w:t>
            </w:r>
          </w:p>
        </w:tc>
        <w:tc>
          <w:tcPr>
            <w:tcW w:w="4210" w:type="dxa"/>
            <w:tcBorders>
              <w:top w:val="nil"/>
              <w:left w:val="nil"/>
              <w:bottom w:val="single" w:sz="4" w:space="0" w:color="auto"/>
              <w:right w:val="single" w:sz="4" w:space="0" w:color="auto"/>
            </w:tcBorders>
            <w:shd w:val="clear" w:color="auto" w:fill="auto"/>
            <w:vAlign w:val="center"/>
            <w:hideMark/>
          </w:tcPr>
          <w:p w14:paraId="2C1D4DC7"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Álvaro Obregón.</w:t>
            </w:r>
          </w:p>
        </w:tc>
        <w:tc>
          <w:tcPr>
            <w:tcW w:w="1701" w:type="dxa"/>
            <w:tcBorders>
              <w:top w:val="nil"/>
              <w:left w:val="nil"/>
              <w:bottom w:val="single" w:sz="4" w:space="0" w:color="auto"/>
              <w:right w:val="single" w:sz="4" w:space="0" w:color="auto"/>
            </w:tcBorders>
            <w:shd w:val="clear" w:color="auto" w:fill="auto"/>
            <w:vAlign w:val="center"/>
            <w:hideMark/>
          </w:tcPr>
          <w:p w14:paraId="7B3D9432"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83.96</w:t>
            </w:r>
          </w:p>
        </w:tc>
        <w:tc>
          <w:tcPr>
            <w:tcW w:w="1703" w:type="dxa"/>
            <w:tcBorders>
              <w:top w:val="nil"/>
              <w:left w:val="nil"/>
              <w:bottom w:val="single" w:sz="4" w:space="0" w:color="auto"/>
              <w:right w:val="single" w:sz="4" w:space="0" w:color="auto"/>
            </w:tcBorders>
            <w:shd w:val="clear" w:color="auto" w:fill="auto"/>
            <w:vAlign w:val="center"/>
            <w:hideMark/>
          </w:tcPr>
          <w:p w14:paraId="046B3841"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98.25</w:t>
            </w:r>
          </w:p>
        </w:tc>
        <w:tc>
          <w:tcPr>
            <w:tcW w:w="990" w:type="dxa"/>
            <w:tcBorders>
              <w:top w:val="nil"/>
              <w:left w:val="nil"/>
              <w:bottom w:val="single" w:sz="4" w:space="0" w:color="auto"/>
              <w:right w:val="single" w:sz="4" w:space="0" w:color="auto"/>
            </w:tcBorders>
            <w:shd w:val="clear" w:color="auto" w:fill="auto"/>
            <w:vAlign w:val="center"/>
            <w:hideMark/>
          </w:tcPr>
          <w:p w14:paraId="2059D348"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14.29</w:t>
            </w:r>
          </w:p>
        </w:tc>
      </w:tr>
      <w:tr w:rsidR="00205601" w:rsidRPr="007F03BF" w14:paraId="512FA2D5"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165AAC11"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6</w:t>
            </w:r>
          </w:p>
        </w:tc>
        <w:tc>
          <w:tcPr>
            <w:tcW w:w="4210" w:type="dxa"/>
            <w:tcBorders>
              <w:top w:val="nil"/>
              <w:left w:val="nil"/>
              <w:bottom w:val="single" w:sz="4" w:space="0" w:color="auto"/>
              <w:right w:val="single" w:sz="4" w:space="0" w:color="auto"/>
            </w:tcBorders>
            <w:shd w:val="clear" w:color="auto" w:fill="auto"/>
            <w:vAlign w:val="center"/>
            <w:hideMark/>
          </w:tcPr>
          <w:p w14:paraId="2F87BCA0"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Azcapotzalco.</w:t>
            </w:r>
          </w:p>
        </w:tc>
        <w:tc>
          <w:tcPr>
            <w:tcW w:w="1701" w:type="dxa"/>
            <w:tcBorders>
              <w:top w:val="nil"/>
              <w:left w:val="nil"/>
              <w:bottom w:val="single" w:sz="4" w:space="0" w:color="auto"/>
              <w:right w:val="single" w:sz="4" w:space="0" w:color="auto"/>
            </w:tcBorders>
            <w:shd w:val="clear" w:color="auto" w:fill="auto"/>
            <w:vAlign w:val="center"/>
            <w:hideMark/>
          </w:tcPr>
          <w:p w14:paraId="055C25AA"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90.62</w:t>
            </w:r>
          </w:p>
        </w:tc>
        <w:tc>
          <w:tcPr>
            <w:tcW w:w="1703" w:type="dxa"/>
            <w:tcBorders>
              <w:top w:val="nil"/>
              <w:left w:val="nil"/>
              <w:bottom w:val="single" w:sz="4" w:space="0" w:color="auto"/>
              <w:right w:val="single" w:sz="4" w:space="0" w:color="auto"/>
            </w:tcBorders>
            <w:shd w:val="clear" w:color="auto" w:fill="auto"/>
            <w:vAlign w:val="center"/>
            <w:hideMark/>
          </w:tcPr>
          <w:p w14:paraId="3B1D8E93"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97.80</w:t>
            </w:r>
          </w:p>
        </w:tc>
        <w:tc>
          <w:tcPr>
            <w:tcW w:w="990" w:type="dxa"/>
            <w:tcBorders>
              <w:top w:val="nil"/>
              <w:left w:val="nil"/>
              <w:bottom w:val="single" w:sz="4" w:space="0" w:color="auto"/>
              <w:right w:val="single" w:sz="4" w:space="0" w:color="auto"/>
            </w:tcBorders>
            <w:shd w:val="clear" w:color="auto" w:fill="auto"/>
            <w:vAlign w:val="center"/>
            <w:hideMark/>
          </w:tcPr>
          <w:p w14:paraId="77F3707F"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7.18</w:t>
            </w:r>
          </w:p>
        </w:tc>
      </w:tr>
      <w:tr w:rsidR="00205601" w:rsidRPr="007F03BF" w14:paraId="7C324C69"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2B86B865"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7</w:t>
            </w:r>
          </w:p>
        </w:tc>
        <w:tc>
          <w:tcPr>
            <w:tcW w:w="4210" w:type="dxa"/>
            <w:tcBorders>
              <w:top w:val="nil"/>
              <w:left w:val="nil"/>
              <w:bottom w:val="single" w:sz="4" w:space="0" w:color="auto"/>
              <w:right w:val="single" w:sz="4" w:space="0" w:color="auto"/>
            </w:tcBorders>
            <w:shd w:val="clear" w:color="auto" w:fill="auto"/>
            <w:vAlign w:val="center"/>
            <w:hideMark/>
          </w:tcPr>
          <w:p w14:paraId="6A5CCD8F"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Tlalpan.</w:t>
            </w:r>
          </w:p>
        </w:tc>
        <w:tc>
          <w:tcPr>
            <w:tcW w:w="1701" w:type="dxa"/>
            <w:tcBorders>
              <w:top w:val="nil"/>
              <w:left w:val="nil"/>
              <w:bottom w:val="single" w:sz="4" w:space="0" w:color="auto"/>
              <w:right w:val="single" w:sz="4" w:space="0" w:color="auto"/>
            </w:tcBorders>
            <w:shd w:val="clear" w:color="auto" w:fill="auto"/>
            <w:vAlign w:val="center"/>
            <w:hideMark/>
          </w:tcPr>
          <w:p w14:paraId="0546E31C" w14:textId="7ABB75FE"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85.0</w:t>
            </w:r>
            <w:r w:rsidR="00C6090F" w:rsidRPr="007F03BF">
              <w:rPr>
                <w:rFonts w:ascii="Calibri" w:hAnsi="Calibri"/>
                <w:color w:val="000000"/>
                <w:sz w:val="22"/>
                <w:szCs w:val="22"/>
              </w:rPr>
              <w:t>6</w:t>
            </w:r>
          </w:p>
        </w:tc>
        <w:tc>
          <w:tcPr>
            <w:tcW w:w="1703" w:type="dxa"/>
            <w:tcBorders>
              <w:top w:val="nil"/>
              <w:left w:val="nil"/>
              <w:bottom w:val="single" w:sz="4" w:space="0" w:color="auto"/>
              <w:right w:val="single" w:sz="4" w:space="0" w:color="auto"/>
            </w:tcBorders>
            <w:shd w:val="clear" w:color="auto" w:fill="auto"/>
            <w:vAlign w:val="center"/>
            <w:hideMark/>
          </w:tcPr>
          <w:p w14:paraId="0B835BD4"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97.65</w:t>
            </w:r>
          </w:p>
        </w:tc>
        <w:tc>
          <w:tcPr>
            <w:tcW w:w="990" w:type="dxa"/>
            <w:tcBorders>
              <w:top w:val="nil"/>
              <w:left w:val="nil"/>
              <w:bottom w:val="single" w:sz="4" w:space="0" w:color="auto"/>
              <w:right w:val="single" w:sz="4" w:space="0" w:color="auto"/>
            </w:tcBorders>
            <w:shd w:val="clear" w:color="auto" w:fill="auto"/>
            <w:vAlign w:val="center"/>
            <w:hideMark/>
          </w:tcPr>
          <w:p w14:paraId="49667F66" w14:textId="3A83259A"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12.</w:t>
            </w:r>
            <w:r w:rsidR="00C6090F" w:rsidRPr="007F03BF">
              <w:rPr>
                <w:rFonts w:ascii="Calibri" w:hAnsi="Calibri"/>
                <w:color w:val="000000"/>
                <w:sz w:val="22"/>
                <w:szCs w:val="22"/>
              </w:rPr>
              <w:t>59</w:t>
            </w:r>
          </w:p>
        </w:tc>
      </w:tr>
      <w:tr w:rsidR="00205601" w:rsidRPr="007F03BF" w14:paraId="4C2D1BEB"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30AA489D"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8</w:t>
            </w:r>
          </w:p>
        </w:tc>
        <w:tc>
          <w:tcPr>
            <w:tcW w:w="4210" w:type="dxa"/>
            <w:tcBorders>
              <w:top w:val="nil"/>
              <w:left w:val="nil"/>
              <w:bottom w:val="single" w:sz="4" w:space="0" w:color="auto"/>
              <w:right w:val="single" w:sz="4" w:space="0" w:color="auto"/>
            </w:tcBorders>
            <w:shd w:val="clear" w:color="auto" w:fill="auto"/>
            <w:vAlign w:val="center"/>
            <w:hideMark/>
          </w:tcPr>
          <w:p w14:paraId="0FB07B3E"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Benito Juárez.</w:t>
            </w:r>
          </w:p>
        </w:tc>
        <w:tc>
          <w:tcPr>
            <w:tcW w:w="1701" w:type="dxa"/>
            <w:tcBorders>
              <w:top w:val="nil"/>
              <w:left w:val="nil"/>
              <w:bottom w:val="single" w:sz="4" w:space="0" w:color="auto"/>
              <w:right w:val="single" w:sz="4" w:space="0" w:color="auto"/>
            </w:tcBorders>
            <w:shd w:val="clear" w:color="auto" w:fill="auto"/>
            <w:vAlign w:val="center"/>
            <w:hideMark/>
          </w:tcPr>
          <w:p w14:paraId="0074A297" w14:textId="3786A381"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76.8</w:t>
            </w:r>
            <w:r w:rsidR="00C6090F" w:rsidRPr="007F03BF">
              <w:rPr>
                <w:rFonts w:ascii="Calibri" w:hAnsi="Calibri"/>
                <w:color w:val="000000"/>
                <w:sz w:val="22"/>
                <w:szCs w:val="22"/>
              </w:rPr>
              <w:t>8</w:t>
            </w:r>
          </w:p>
        </w:tc>
        <w:tc>
          <w:tcPr>
            <w:tcW w:w="1703" w:type="dxa"/>
            <w:tcBorders>
              <w:top w:val="nil"/>
              <w:left w:val="nil"/>
              <w:bottom w:val="single" w:sz="4" w:space="0" w:color="auto"/>
              <w:right w:val="single" w:sz="4" w:space="0" w:color="auto"/>
            </w:tcBorders>
            <w:shd w:val="clear" w:color="auto" w:fill="auto"/>
            <w:vAlign w:val="center"/>
            <w:hideMark/>
          </w:tcPr>
          <w:p w14:paraId="158E1CA7"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96.98</w:t>
            </w:r>
          </w:p>
        </w:tc>
        <w:tc>
          <w:tcPr>
            <w:tcW w:w="990" w:type="dxa"/>
            <w:tcBorders>
              <w:top w:val="nil"/>
              <w:left w:val="nil"/>
              <w:bottom w:val="single" w:sz="4" w:space="0" w:color="auto"/>
              <w:right w:val="single" w:sz="4" w:space="0" w:color="auto"/>
            </w:tcBorders>
            <w:shd w:val="clear" w:color="auto" w:fill="auto"/>
            <w:vAlign w:val="center"/>
            <w:hideMark/>
          </w:tcPr>
          <w:p w14:paraId="07EDE314" w14:textId="581B632D"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20.1</w:t>
            </w:r>
            <w:r w:rsidR="00C6090F" w:rsidRPr="007F03BF">
              <w:rPr>
                <w:rFonts w:ascii="Calibri" w:hAnsi="Calibri"/>
                <w:color w:val="000000"/>
                <w:sz w:val="22"/>
                <w:szCs w:val="22"/>
              </w:rPr>
              <w:t>0</w:t>
            </w:r>
          </w:p>
        </w:tc>
      </w:tr>
      <w:tr w:rsidR="00205601" w:rsidRPr="007F03BF" w14:paraId="2E17939F"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7994D78D"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9</w:t>
            </w:r>
          </w:p>
        </w:tc>
        <w:tc>
          <w:tcPr>
            <w:tcW w:w="4210" w:type="dxa"/>
            <w:tcBorders>
              <w:top w:val="nil"/>
              <w:left w:val="nil"/>
              <w:bottom w:val="single" w:sz="4" w:space="0" w:color="auto"/>
              <w:right w:val="single" w:sz="4" w:space="0" w:color="auto"/>
            </w:tcBorders>
            <w:shd w:val="clear" w:color="auto" w:fill="auto"/>
            <w:vAlign w:val="center"/>
            <w:hideMark/>
          </w:tcPr>
          <w:p w14:paraId="5E1E4830"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Milpa Alta.</w:t>
            </w:r>
          </w:p>
        </w:tc>
        <w:tc>
          <w:tcPr>
            <w:tcW w:w="1701" w:type="dxa"/>
            <w:tcBorders>
              <w:top w:val="nil"/>
              <w:left w:val="nil"/>
              <w:bottom w:val="single" w:sz="4" w:space="0" w:color="auto"/>
              <w:right w:val="single" w:sz="4" w:space="0" w:color="auto"/>
            </w:tcBorders>
            <w:shd w:val="clear" w:color="auto" w:fill="auto"/>
            <w:vAlign w:val="center"/>
            <w:hideMark/>
          </w:tcPr>
          <w:p w14:paraId="4AC43EF7" w14:textId="1BC19CF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89.0</w:t>
            </w:r>
            <w:r w:rsidR="00C6090F" w:rsidRPr="007F03BF">
              <w:rPr>
                <w:rFonts w:ascii="Calibri" w:hAnsi="Calibri"/>
                <w:color w:val="000000"/>
                <w:sz w:val="22"/>
                <w:szCs w:val="22"/>
              </w:rPr>
              <w:t>5</w:t>
            </w:r>
          </w:p>
        </w:tc>
        <w:tc>
          <w:tcPr>
            <w:tcW w:w="1703" w:type="dxa"/>
            <w:tcBorders>
              <w:top w:val="nil"/>
              <w:left w:val="nil"/>
              <w:bottom w:val="single" w:sz="4" w:space="0" w:color="auto"/>
              <w:right w:val="single" w:sz="4" w:space="0" w:color="auto"/>
            </w:tcBorders>
            <w:shd w:val="clear" w:color="auto" w:fill="auto"/>
            <w:vAlign w:val="center"/>
            <w:hideMark/>
          </w:tcPr>
          <w:p w14:paraId="65B0684A"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93.58</w:t>
            </w:r>
          </w:p>
        </w:tc>
        <w:tc>
          <w:tcPr>
            <w:tcW w:w="990" w:type="dxa"/>
            <w:tcBorders>
              <w:top w:val="nil"/>
              <w:left w:val="nil"/>
              <w:bottom w:val="single" w:sz="4" w:space="0" w:color="auto"/>
              <w:right w:val="single" w:sz="4" w:space="0" w:color="auto"/>
            </w:tcBorders>
            <w:shd w:val="clear" w:color="auto" w:fill="auto"/>
            <w:vAlign w:val="center"/>
            <w:hideMark/>
          </w:tcPr>
          <w:p w14:paraId="3B9DC190" w14:textId="0068ECCC"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4.5</w:t>
            </w:r>
            <w:r w:rsidR="00C6090F" w:rsidRPr="007F03BF">
              <w:rPr>
                <w:rFonts w:ascii="Calibri" w:hAnsi="Calibri"/>
                <w:color w:val="000000"/>
                <w:sz w:val="22"/>
                <w:szCs w:val="22"/>
              </w:rPr>
              <w:t>3</w:t>
            </w:r>
          </w:p>
        </w:tc>
      </w:tr>
      <w:tr w:rsidR="00205601" w:rsidRPr="007F03BF" w14:paraId="009B2083"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5986FA3A"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10</w:t>
            </w:r>
          </w:p>
        </w:tc>
        <w:tc>
          <w:tcPr>
            <w:tcW w:w="4210" w:type="dxa"/>
            <w:tcBorders>
              <w:top w:val="nil"/>
              <w:left w:val="nil"/>
              <w:bottom w:val="single" w:sz="4" w:space="0" w:color="auto"/>
              <w:right w:val="single" w:sz="4" w:space="0" w:color="auto"/>
            </w:tcBorders>
            <w:shd w:val="clear" w:color="auto" w:fill="auto"/>
            <w:vAlign w:val="center"/>
            <w:hideMark/>
          </w:tcPr>
          <w:p w14:paraId="2A3A5724"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Gustavo A. Madero.</w:t>
            </w:r>
          </w:p>
        </w:tc>
        <w:tc>
          <w:tcPr>
            <w:tcW w:w="1701" w:type="dxa"/>
            <w:tcBorders>
              <w:top w:val="nil"/>
              <w:left w:val="nil"/>
              <w:bottom w:val="single" w:sz="4" w:space="0" w:color="auto"/>
              <w:right w:val="single" w:sz="4" w:space="0" w:color="auto"/>
            </w:tcBorders>
            <w:shd w:val="clear" w:color="auto" w:fill="auto"/>
            <w:vAlign w:val="center"/>
            <w:hideMark/>
          </w:tcPr>
          <w:p w14:paraId="1B2DD247" w14:textId="3FD6CA46"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91.2</w:t>
            </w:r>
            <w:r w:rsidR="00C6090F" w:rsidRPr="007F03BF">
              <w:rPr>
                <w:rFonts w:ascii="Calibri" w:hAnsi="Calibri"/>
                <w:color w:val="000000"/>
                <w:sz w:val="22"/>
                <w:szCs w:val="22"/>
              </w:rPr>
              <w:t>9</w:t>
            </w:r>
          </w:p>
        </w:tc>
        <w:tc>
          <w:tcPr>
            <w:tcW w:w="1703" w:type="dxa"/>
            <w:tcBorders>
              <w:top w:val="nil"/>
              <w:left w:val="nil"/>
              <w:bottom w:val="single" w:sz="4" w:space="0" w:color="auto"/>
              <w:right w:val="single" w:sz="4" w:space="0" w:color="auto"/>
            </w:tcBorders>
            <w:shd w:val="clear" w:color="auto" w:fill="auto"/>
            <w:vAlign w:val="center"/>
            <w:hideMark/>
          </w:tcPr>
          <w:p w14:paraId="47E8AB3C"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93.16</w:t>
            </w:r>
          </w:p>
        </w:tc>
        <w:tc>
          <w:tcPr>
            <w:tcW w:w="990" w:type="dxa"/>
            <w:tcBorders>
              <w:top w:val="nil"/>
              <w:left w:val="nil"/>
              <w:bottom w:val="single" w:sz="4" w:space="0" w:color="auto"/>
              <w:right w:val="single" w:sz="4" w:space="0" w:color="auto"/>
            </w:tcBorders>
            <w:shd w:val="clear" w:color="auto" w:fill="auto"/>
            <w:vAlign w:val="center"/>
            <w:hideMark/>
          </w:tcPr>
          <w:p w14:paraId="43FDF48A" w14:textId="517926CA"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1.8</w:t>
            </w:r>
            <w:r w:rsidR="00C6090F" w:rsidRPr="007F03BF">
              <w:rPr>
                <w:rFonts w:ascii="Calibri" w:hAnsi="Calibri"/>
                <w:color w:val="000000"/>
                <w:sz w:val="22"/>
                <w:szCs w:val="22"/>
              </w:rPr>
              <w:t>7</w:t>
            </w:r>
          </w:p>
        </w:tc>
      </w:tr>
      <w:tr w:rsidR="00205601" w:rsidRPr="007F03BF" w14:paraId="7C46BB1A"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5A3AF4EA"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11</w:t>
            </w:r>
          </w:p>
        </w:tc>
        <w:tc>
          <w:tcPr>
            <w:tcW w:w="4210" w:type="dxa"/>
            <w:tcBorders>
              <w:top w:val="nil"/>
              <w:left w:val="nil"/>
              <w:bottom w:val="single" w:sz="4" w:space="0" w:color="auto"/>
              <w:right w:val="single" w:sz="4" w:space="0" w:color="auto"/>
            </w:tcBorders>
            <w:shd w:val="clear" w:color="auto" w:fill="auto"/>
            <w:vAlign w:val="center"/>
            <w:hideMark/>
          </w:tcPr>
          <w:p w14:paraId="22D29F1C"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Xochimilco.</w:t>
            </w:r>
          </w:p>
        </w:tc>
        <w:tc>
          <w:tcPr>
            <w:tcW w:w="1701" w:type="dxa"/>
            <w:tcBorders>
              <w:top w:val="nil"/>
              <w:left w:val="nil"/>
              <w:bottom w:val="single" w:sz="4" w:space="0" w:color="auto"/>
              <w:right w:val="single" w:sz="4" w:space="0" w:color="auto"/>
            </w:tcBorders>
            <w:shd w:val="clear" w:color="auto" w:fill="auto"/>
            <w:vAlign w:val="center"/>
            <w:hideMark/>
          </w:tcPr>
          <w:p w14:paraId="052EBBE8"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62.39</w:t>
            </w:r>
          </w:p>
        </w:tc>
        <w:tc>
          <w:tcPr>
            <w:tcW w:w="1703" w:type="dxa"/>
            <w:tcBorders>
              <w:top w:val="nil"/>
              <w:left w:val="nil"/>
              <w:bottom w:val="single" w:sz="4" w:space="0" w:color="auto"/>
              <w:right w:val="single" w:sz="4" w:space="0" w:color="auto"/>
            </w:tcBorders>
            <w:shd w:val="clear" w:color="auto" w:fill="auto"/>
            <w:vAlign w:val="center"/>
            <w:hideMark/>
          </w:tcPr>
          <w:p w14:paraId="6CEB78BD"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92.24</w:t>
            </w:r>
          </w:p>
        </w:tc>
        <w:tc>
          <w:tcPr>
            <w:tcW w:w="990" w:type="dxa"/>
            <w:tcBorders>
              <w:top w:val="nil"/>
              <w:left w:val="nil"/>
              <w:bottom w:val="single" w:sz="4" w:space="0" w:color="auto"/>
              <w:right w:val="single" w:sz="4" w:space="0" w:color="auto"/>
            </w:tcBorders>
            <w:shd w:val="clear" w:color="auto" w:fill="auto"/>
            <w:vAlign w:val="center"/>
            <w:hideMark/>
          </w:tcPr>
          <w:p w14:paraId="2083D31D"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29.85</w:t>
            </w:r>
          </w:p>
        </w:tc>
      </w:tr>
      <w:tr w:rsidR="00205601" w:rsidRPr="007F03BF" w14:paraId="1EBEB2F6"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4084BDCB"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12</w:t>
            </w:r>
          </w:p>
        </w:tc>
        <w:tc>
          <w:tcPr>
            <w:tcW w:w="4210" w:type="dxa"/>
            <w:tcBorders>
              <w:top w:val="nil"/>
              <w:left w:val="nil"/>
              <w:bottom w:val="single" w:sz="4" w:space="0" w:color="auto"/>
              <w:right w:val="single" w:sz="4" w:space="0" w:color="auto"/>
            </w:tcBorders>
            <w:shd w:val="clear" w:color="auto" w:fill="auto"/>
            <w:vAlign w:val="center"/>
            <w:hideMark/>
          </w:tcPr>
          <w:p w14:paraId="3F71FD92"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Iztacalco.</w:t>
            </w:r>
          </w:p>
        </w:tc>
        <w:tc>
          <w:tcPr>
            <w:tcW w:w="1701" w:type="dxa"/>
            <w:tcBorders>
              <w:top w:val="nil"/>
              <w:left w:val="nil"/>
              <w:bottom w:val="single" w:sz="4" w:space="0" w:color="auto"/>
              <w:right w:val="single" w:sz="4" w:space="0" w:color="auto"/>
            </w:tcBorders>
            <w:shd w:val="clear" w:color="auto" w:fill="auto"/>
            <w:vAlign w:val="center"/>
            <w:hideMark/>
          </w:tcPr>
          <w:p w14:paraId="1319A84D"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84.06</w:t>
            </w:r>
          </w:p>
        </w:tc>
        <w:tc>
          <w:tcPr>
            <w:tcW w:w="1703" w:type="dxa"/>
            <w:tcBorders>
              <w:top w:val="nil"/>
              <w:left w:val="nil"/>
              <w:bottom w:val="single" w:sz="4" w:space="0" w:color="auto"/>
              <w:right w:val="single" w:sz="4" w:space="0" w:color="auto"/>
            </w:tcBorders>
            <w:shd w:val="clear" w:color="auto" w:fill="auto"/>
            <w:vAlign w:val="center"/>
            <w:hideMark/>
          </w:tcPr>
          <w:p w14:paraId="5A5A58C7"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92.06</w:t>
            </w:r>
          </w:p>
        </w:tc>
        <w:tc>
          <w:tcPr>
            <w:tcW w:w="990" w:type="dxa"/>
            <w:tcBorders>
              <w:top w:val="nil"/>
              <w:left w:val="nil"/>
              <w:bottom w:val="single" w:sz="4" w:space="0" w:color="auto"/>
              <w:right w:val="single" w:sz="4" w:space="0" w:color="auto"/>
            </w:tcBorders>
            <w:shd w:val="clear" w:color="auto" w:fill="auto"/>
            <w:vAlign w:val="center"/>
            <w:hideMark/>
          </w:tcPr>
          <w:p w14:paraId="570CBD15"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8.00</w:t>
            </w:r>
          </w:p>
        </w:tc>
      </w:tr>
      <w:tr w:rsidR="00205601" w:rsidRPr="007F03BF" w14:paraId="0B041198"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14E4432A"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13</w:t>
            </w:r>
          </w:p>
        </w:tc>
        <w:tc>
          <w:tcPr>
            <w:tcW w:w="4210" w:type="dxa"/>
            <w:tcBorders>
              <w:top w:val="nil"/>
              <w:left w:val="nil"/>
              <w:bottom w:val="single" w:sz="4" w:space="0" w:color="auto"/>
              <w:right w:val="single" w:sz="4" w:space="0" w:color="auto"/>
            </w:tcBorders>
            <w:shd w:val="clear" w:color="auto" w:fill="auto"/>
            <w:vAlign w:val="center"/>
            <w:hideMark/>
          </w:tcPr>
          <w:p w14:paraId="13F153CA"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Cuajimalpa de Morelos.</w:t>
            </w:r>
          </w:p>
        </w:tc>
        <w:tc>
          <w:tcPr>
            <w:tcW w:w="1701" w:type="dxa"/>
            <w:tcBorders>
              <w:top w:val="nil"/>
              <w:left w:val="nil"/>
              <w:bottom w:val="single" w:sz="4" w:space="0" w:color="auto"/>
              <w:right w:val="single" w:sz="4" w:space="0" w:color="auto"/>
            </w:tcBorders>
            <w:shd w:val="clear" w:color="auto" w:fill="auto"/>
            <w:vAlign w:val="center"/>
            <w:hideMark/>
          </w:tcPr>
          <w:p w14:paraId="2C282255" w14:textId="2671D3C2"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86.5</w:t>
            </w:r>
            <w:r w:rsidR="00C6090F" w:rsidRPr="007F03BF">
              <w:rPr>
                <w:rFonts w:ascii="Calibri" w:hAnsi="Calibri"/>
                <w:color w:val="000000"/>
                <w:sz w:val="22"/>
                <w:szCs w:val="22"/>
              </w:rPr>
              <w:t>4</w:t>
            </w:r>
          </w:p>
        </w:tc>
        <w:tc>
          <w:tcPr>
            <w:tcW w:w="1703" w:type="dxa"/>
            <w:tcBorders>
              <w:top w:val="nil"/>
              <w:left w:val="nil"/>
              <w:bottom w:val="single" w:sz="4" w:space="0" w:color="auto"/>
              <w:right w:val="single" w:sz="4" w:space="0" w:color="auto"/>
            </w:tcBorders>
            <w:shd w:val="clear" w:color="auto" w:fill="auto"/>
            <w:vAlign w:val="center"/>
            <w:hideMark/>
          </w:tcPr>
          <w:p w14:paraId="1AB9E854"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86.76</w:t>
            </w:r>
          </w:p>
        </w:tc>
        <w:tc>
          <w:tcPr>
            <w:tcW w:w="990" w:type="dxa"/>
            <w:tcBorders>
              <w:top w:val="nil"/>
              <w:left w:val="nil"/>
              <w:bottom w:val="single" w:sz="4" w:space="0" w:color="auto"/>
              <w:right w:val="single" w:sz="4" w:space="0" w:color="auto"/>
            </w:tcBorders>
            <w:shd w:val="clear" w:color="auto" w:fill="auto"/>
            <w:vAlign w:val="center"/>
            <w:hideMark/>
          </w:tcPr>
          <w:p w14:paraId="6912A2FF" w14:textId="5217DA6F"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0.2</w:t>
            </w:r>
            <w:r w:rsidR="00C6090F" w:rsidRPr="007F03BF">
              <w:rPr>
                <w:rFonts w:ascii="Calibri" w:hAnsi="Calibri"/>
                <w:color w:val="000000"/>
                <w:sz w:val="22"/>
                <w:szCs w:val="22"/>
              </w:rPr>
              <w:t>2</w:t>
            </w:r>
          </w:p>
        </w:tc>
      </w:tr>
      <w:tr w:rsidR="00205601" w:rsidRPr="007F03BF" w14:paraId="6F69DEC9" w14:textId="77777777" w:rsidTr="0020560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3623987C" w14:textId="77777777" w:rsidR="00205601" w:rsidRPr="007F03BF" w:rsidRDefault="00205601" w:rsidP="00205601">
            <w:pPr>
              <w:jc w:val="center"/>
              <w:rPr>
                <w:rFonts w:ascii="Arial" w:hAnsi="Arial" w:cs="Arial"/>
                <w:color w:val="000000"/>
                <w:sz w:val="20"/>
                <w:szCs w:val="20"/>
              </w:rPr>
            </w:pPr>
            <w:r w:rsidRPr="007F03BF">
              <w:rPr>
                <w:rFonts w:ascii="Arial" w:hAnsi="Arial" w:cs="Arial"/>
                <w:color w:val="000000"/>
                <w:sz w:val="20"/>
                <w:szCs w:val="20"/>
              </w:rPr>
              <w:t>14</w:t>
            </w:r>
          </w:p>
        </w:tc>
        <w:tc>
          <w:tcPr>
            <w:tcW w:w="4210" w:type="dxa"/>
            <w:tcBorders>
              <w:top w:val="nil"/>
              <w:left w:val="nil"/>
              <w:bottom w:val="single" w:sz="4" w:space="0" w:color="auto"/>
              <w:right w:val="single" w:sz="4" w:space="0" w:color="auto"/>
            </w:tcBorders>
            <w:shd w:val="clear" w:color="auto" w:fill="auto"/>
            <w:vAlign w:val="center"/>
            <w:hideMark/>
          </w:tcPr>
          <w:p w14:paraId="0E9DA398" w14:textId="77777777" w:rsidR="00205601" w:rsidRPr="007F03BF" w:rsidRDefault="00205601" w:rsidP="00205601">
            <w:pPr>
              <w:rPr>
                <w:rFonts w:ascii="Arial" w:hAnsi="Arial" w:cs="Arial"/>
                <w:color w:val="000000"/>
                <w:sz w:val="20"/>
                <w:szCs w:val="20"/>
              </w:rPr>
            </w:pPr>
            <w:r w:rsidRPr="007F03BF">
              <w:rPr>
                <w:rFonts w:ascii="Arial" w:hAnsi="Arial" w:cs="Arial"/>
                <w:color w:val="000000"/>
                <w:sz w:val="20"/>
                <w:szCs w:val="20"/>
              </w:rPr>
              <w:t>Alcaldía Coyoacán.</w:t>
            </w:r>
          </w:p>
        </w:tc>
        <w:tc>
          <w:tcPr>
            <w:tcW w:w="1701" w:type="dxa"/>
            <w:tcBorders>
              <w:top w:val="nil"/>
              <w:left w:val="nil"/>
              <w:bottom w:val="single" w:sz="4" w:space="0" w:color="auto"/>
              <w:right w:val="single" w:sz="4" w:space="0" w:color="auto"/>
            </w:tcBorders>
            <w:shd w:val="clear" w:color="auto" w:fill="auto"/>
            <w:vAlign w:val="center"/>
            <w:hideMark/>
          </w:tcPr>
          <w:p w14:paraId="5099A9D4"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68.91</w:t>
            </w:r>
          </w:p>
        </w:tc>
        <w:tc>
          <w:tcPr>
            <w:tcW w:w="1703" w:type="dxa"/>
            <w:tcBorders>
              <w:top w:val="nil"/>
              <w:left w:val="nil"/>
              <w:bottom w:val="single" w:sz="4" w:space="0" w:color="auto"/>
              <w:right w:val="single" w:sz="4" w:space="0" w:color="auto"/>
            </w:tcBorders>
            <w:shd w:val="clear" w:color="auto" w:fill="auto"/>
            <w:vAlign w:val="center"/>
            <w:hideMark/>
          </w:tcPr>
          <w:p w14:paraId="3214F8EB"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80.46</w:t>
            </w:r>
          </w:p>
        </w:tc>
        <w:tc>
          <w:tcPr>
            <w:tcW w:w="990" w:type="dxa"/>
            <w:tcBorders>
              <w:top w:val="nil"/>
              <w:left w:val="nil"/>
              <w:bottom w:val="single" w:sz="4" w:space="0" w:color="auto"/>
              <w:right w:val="single" w:sz="4" w:space="0" w:color="auto"/>
            </w:tcBorders>
            <w:shd w:val="clear" w:color="auto" w:fill="auto"/>
            <w:vAlign w:val="center"/>
            <w:hideMark/>
          </w:tcPr>
          <w:p w14:paraId="699E0D1C" w14:textId="77777777" w:rsidR="00205601" w:rsidRPr="007F03BF" w:rsidRDefault="00205601" w:rsidP="00205601">
            <w:pPr>
              <w:jc w:val="center"/>
              <w:rPr>
                <w:rFonts w:ascii="Calibri" w:hAnsi="Calibri"/>
                <w:color w:val="000000"/>
                <w:sz w:val="22"/>
                <w:szCs w:val="22"/>
              </w:rPr>
            </w:pPr>
            <w:r w:rsidRPr="007F03BF">
              <w:rPr>
                <w:rFonts w:ascii="Calibri" w:hAnsi="Calibri"/>
                <w:color w:val="000000"/>
                <w:sz w:val="22"/>
                <w:szCs w:val="22"/>
              </w:rPr>
              <w:t>11.55</w:t>
            </w:r>
          </w:p>
        </w:tc>
      </w:tr>
    </w:tbl>
    <w:p w14:paraId="4B94A946" w14:textId="77777777" w:rsidR="00F64E7A" w:rsidRPr="007F03BF" w:rsidRDefault="00F64E7A" w:rsidP="00F64E7A">
      <w:pPr>
        <w:spacing w:before="100" w:beforeAutospacing="1" w:after="100" w:afterAutospacing="1" w:line="360" w:lineRule="auto"/>
        <w:contextualSpacing/>
        <w:jc w:val="both"/>
        <w:rPr>
          <w:rFonts w:ascii="Arial" w:hAnsi="Arial" w:cs="Arial"/>
        </w:rPr>
      </w:pPr>
    </w:p>
    <w:p w14:paraId="212EBDC5" w14:textId="7D1ABEA5" w:rsidR="00F64E7A" w:rsidRPr="007F03BF" w:rsidRDefault="00F64E7A" w:rsidP="00F64E7A">
      <w:pPr>
        <w:spacing w:before="100" w:beforeAutospacing="1" w:after="100" w:afterAutospacing="1" w:line="360" w:lineRule="auto"/>
        <w:jc w:val="both"/>
        <w:rPr>
          <w:rFonts w:ascii="Arial" w:hAnsi="Arial" w:cs="Arial"/>
        </w:rPr>
      </w:pPr>
      <w:r w:rsidRPr="007F03BF">
        <w:rPr>
          <w:rFonts w:ascii="Arial" w:hAnsi="Arial" w:cs="Arial"/>
        </w:rPr>
        <w:t xml:space="preserve">Con relación a las recomendaciones y observaciones emitidas al </w:t>
      </w:r>
      <w:r w:rsidR="004D62A7" w:rsidRPr="007F03BF">
        <w:rPr>
          <w:rFonts w:ascii="Arial" w:hAnsi="Arial" w:cs="Arial"/>
        </w:rPr>
        <w:t>Poder Ejecutivo – Demarcaciones Territoriales</w:t>
      </w:r>
      <w:r w:rsidRPr="007F03BF">
        <w:rPr>
          <w:rFonts w:ascii="Arial" w:hAnsi="Arial" w:cs="Arial"/>
        </w:rPr>
        <w:t xml:space="preserve">, </w:t>
      </w:r>
      <w:r w:rsidR="00D23BCA" w:rsidRPr="007F03BF">
        <w:rPr>
          <w:rFonts w:ascii="Arial" w:hAnsi="Arial" w:cs="Arial"/>
        </w:rPr>
        <w:t>todos los</w:t>
      </w:r>
      <w:r w:rsidRPr="007F03BF">
        <w:rPr>
          <w:rFonts w:ascii="Arial" w:hAnsi="Arial" w:cs="Arial"/>
        </w:rPr>
        <w:t xml:space="preserve"> sujetos obligados que integran el ámbito atendieron las mismas; sin embargo, </w:t>
      </w:r>
      <w:r w:rsidR="00D23BCA" w:rsidRPr="007F03BF">
        <w:rPr>
          <w:rFonts w:ascii="Arial" w:hAnsi="Arial" w:cs="Arial"/>
        </w:rPr>
        <w:t xml:space="preserve">únicamente </w:t>
      </w:r>
      <w:r w:rsidR="00E846CB" w:rsidRPr="007F03BF">
        <w:rPr>
          <w:rFonts w:ascii="Arial" w:hAnsi="Arial" w:cs="Arial"/>
        </w:rPr>
        <w:t>3</w:t>
      </w:r>
      <w:r w:rsidR="00D23BCA" w:rsidRPr="007F03BF">
        <w:rPr>
          <w:rFonts w:ascii="Arial" w:hAnsi="Arial" w:cs="Arial"/>
        </w:rPr>
        <w:t xml:space="preserve"> </w:t>
      </w:r>
      <w:r w:rsidRPr="007F03BF">
        <w:rPr>
          <w:rFonts w:ascii="Arial" w:hAnsi="Arial" w:cs="Arial"/>
        </w:rPr>
        <w:t>cumpl</w:t>
      </w:r>
      <w:r w:rsidR="00D23BCA" w:rsidRPr="007F03BF">
        <w:rPr>
          <w:rFonts w:ascii="Arial" w:hAnsi="Arial" w:cs="Arial"/>
        </w:rPr>
        <w:t xml:space="preserve">ieron </w:t>
      </w:r>
      <w:r w:rsidRPr="007F03BF">
        <w:rPr>
          <w:rFonts w:ascii="Arial" w:hAnsi="Arial" w:cs="Arial"/>
        </w:rPr>
        <w:t xml:space="preserve">con la totalidad de las recomendaciones, alcanzando un IGOT de 100%; mientras que el </w:t>
      </w:r>
      <w:r w:rsidR="00D23BCA" w:rsidRPr="007F03BF">
        <w:rPr>
          <w:rFonts w:ascii="Arial" w:hAnsi="Arial" w:cs="Arial"/>
        </w:rPr>
        <w:t>1</w:t>
      </w:r>
      <w:r w:rsidR="00585469" w:rsidRPr="007F03BF">
        <w:rPr>
          <w:rFonts w:ascii="Arial" w:hAnsi="Arial" w:cs="Arial"/>
        </w:rPr>
        <w:t>1</w:t>
      </w:r>
      <w:r w:rsidRPr="007F03BF">
        <w:rPr>
          <w:rFonts w:ascii="Arial" w:hAnsi="Arial" w:cs="Arial"/>
        </w:rPr>
        <w:t xml:space="preserve"> continúa presentando áreas oportunidad</w:t>
      </w:r>
      <w:r w:rsidR="00D23BCA" w:rsidRPr="007F03BF">
        <w:rPr>
          <w:rFonts w:ascii="Arial" w:hAnsi="Arial" w:cs="Arial"/>
        </w:rPr>
        <w:t>.</w:t>
      </w:r>
    </w:p>
    <w:p w14:paraId="1932F228" w14:textId="2C5A275C" w:rsidR="00167A2D" w:rsidRPr="007F03BF" w:rsidRDefault="00443947" w:rsidP="00585469">
      <w:pPr>
        <w:spacing w:before="100" w:beforeAutospacing="1" w:after="100" w:afterAutospacing="1" w:line="360" w:lineRule="auto"/>
        <w:jc w:val="both"/>
        <w:rPr>
          <w:rFonts w:ascii="Arial" w:hAnsi="Arial" w:cs="Arial"/>
        </w:rPr>
      </w:pPr>
      <w:r w:rsidRPr="007F03BF">
        <w:rPr>
          <w:rFonts w:ascii="Arial" w:hAnsi="Arial" w:cs="Arial"/>
        </w:rPr>
        <w:t xml:space="preserve">2 </w:t>
      </w:r>
      <w:r w:rsidR="00585469" w:rsidRPr="007F03BF">
        <w:rPr>
          <w:rFonts w:ascii="Arial" w:hAnsi="Arial" w:cs="Arial"/>
        </w:rPr>
        <w:t>sujetos</w:t>
      </w:r>
      <w:r w:rsidR="00D23BCA" w:rsidRPr="007F03BF">
        <w:rPr>
          <w:rFonts w:ascii="Arial" w:hAnsi="Arial" w:cs="Arial"/>
        </w:rPr>
        <w:t xml:space="preserve"> tienen un IGOT</w:t>
      </w:r>
      <w:r w:rsidR="00585469" w:rsidRPr="007F03BF">
        <w:rPr>
          <w:rFonts w:ascii="Arial" w:hAnsi="Arial" w:cs="Arial"/>
        </w:rPr>
        <w:t xml:space="preserve"> entre 80% y</w:t>
      </w:r>
      <w:r w:rsidR="00D23BCA" w:rsidRPr="007F03BF">
        <w:rPr>
          <w:rFonts w:ascii="Arial" w:hAnsi="Arial" w:cs="Arial"/>
        </w:rPr>
        <w:t xml:space="preserve"> 90% </w:t>
      </w:r>
      <w:r w:rsidR="00585469" w:rsidRPr="007F03BF">
        <w:rPr>
          <w:rFonts w:ascii="Arial" w:hAnsi="Arial" w:cs="Arial"/>
        </w:rPr>
        <w:t xml:space="preserve">y </w:t>
      </w:r>
      <w:r w:rsidRPr="007F03BF">
        <w:rPr>
          <w:rFonts w:ascii="Arial" w:hAnsi="Arial" w:cs="Arial"/>
        </w:rPr>
        <w:t>9</w:t>
      </w:r>
      <w:r w:rsidR="00585469" w:rsidRPr="007F03BF">
        <w:rPr>
          <w:rFonts w:ascii="Arial" w:hAnsi="Arial" w:cs="Arial"/>
        </w:rPr>
        <w:t xml:space="preserve"> un IGOT superior a 90% e </w:t>
      </w:r>
      <w:r w:rsidR="00D23BCA" w:rsidRPr="007F03BF">
        <w:rPr>
          <w:rFonts w:ascii="Arial" w:hAnsi="Arial" w:cs="Arial"/>
        </w:rPr>
        <w:t>inferior al 100</w:t>
      </w:r>
      <w:r w:rsidR="00585469" w:rsidRPr="007F03BF">
        <w:rPr>
          <w:rFonts w:ascii="Arial" w:hAnsi="Arial" w:cs="Arial"/>
        </w:rPr>
        <w:t xml:space="preserve">%. </w:t>
      </w:r>
      <w:r w:rsidR="00D23BCA" w:rsidRPr="007F03BF">
        <w:rPr>
          <w:rFonts w:ascii="Arial" w:hAnsi="Arial" w:cs="Arial"/>
        </w:rPr>
        <w:t>L</w:t>
      </w:r>
      <w:r w:rsidR="00F64E7A" w:rsidRPr="007F03BF">
        <w:rPr>
          <w:rFonts w:ascii="Arial" w:hAnsi="Arial" w:cs="Arial"/>
        </w:rPr>
        <w:t xml:space="preserve">os sujetos de este ámbito tuvieron una mejoría promedio en su índice de </w:t>
      </w:r>
      <w:r w:rsidR="00585469" w:rsidRPr="007F03BF">
        <w:rPr>
          <w:rFonts w:ascii="Arial" w:hAnsi="Arial" w:cs="Arial"/>
        </w:rPr>
        <w:t>8.76</w:t>
      </w:r>
      <w:r w:rsidR="00F64E7A" w:rsidRPr="007F03BF">
        <w:rPr>
          <w:rFonts w:ascii="Arial" w:hAnsi="Arial" w:cs="Arial"/>
        </w:rPr>
        <w:t>%</w:t>
      </w:r>
      <w:r w:rsidR="00D23BCA" w:rsidRPr="007F03BF">
        <w:rPr>
          <w:rFonts w:ascii="Arial" w:hAnsi="Arial" w:cs="Arial"/>
        </w:rPr>
        <w:t>.</w:t>
      </w:r>
      <w:r w:rsidR="00167A2D" w:rsidRPr="007F03BF">
        <w:rPr>
          <w:rFonts w:ascii="Arial" w:hAnsi="Arial" w:cs="Arial"/>
          <w:b/>
        </w:rPr>
        <w:br w:type="page"/>
      </w:r>
    </w:p>
    <w:p w14:paraId="528095DD" w14:textId="77777777" w:rsidR="00071E52" w:rsidRPr="007F03BF" w:rsidRDefault="00071E52" w:rsidP="00FF7BD9">
      <w:pPr>
        <w:pStyle w:val="Ttulo1"/>
        <w:contextualSpacing/>
        <w:rPr>
          <w:rFonts w:ascii="Arial" w:hAnsi="Arial" w:cs="Arial"/>
          <w:b/>
          <w:color w:val="auto"/>
          <w:sz w:val="24"/>
          <w:szCs w:val="24"/>
        </w:rPr>
      </w:pPr>
      <w:bookmarkStart w:id="19" w:name="_Toc39684001"/>
      <w:r w:rsidRPr="007F03BF">
        <w:rPr>
          <w:rFonts w:ascii="Arial" w:hAnsi="Arial" w:cs="Arial"/>
          <w:b/>
          <w:color w:val="auto"/>
          <w:sz w:val="24"/>
          <w:szCs w:val="24"/>
        </w:rPr>
        <w:lastRenderedPageBreak/>
        <w:t>PODER LEGISLATIVO</w:t>
      </w:r>
      <w:bookmarkEnd w:id="19"/>
    </w:p>
    <w:p w14:paraId="2A021501" w14:textId="77777777" w:rsidR="00071E52" w:rsidRPr="007F03BF" w:rsidRDefault="00071E52" w:rsidP="00071E52">
      <w:pPr>
        <w:contextualSpacing/>
        <w:rPr>
          <w:rFonts w:ascii="Arial" w:hAnsi="Arial" w:cs="Arial"/>
        </w:rPr>
      </w:pPr>
    </w:p>
    <w:p w14:paraId="2CEC9969" w14:textId="03869BD0" w:rsidR="00585469" w:rsidRPr="007F03BF" w:rsidRDefault="00585469" w:rsidP="00585469">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El ámbito del Poder Legislativo está integrado por </w:t>
      </w:r>
      <w:r w:rsidR="00443947" w:rsidRPr="007F03BF">
        <w:rPr>
          <w:rFonts w:ascii="Arial" w:hAnsi="Arial" w:cs="Arial"/>
          <w:color w:val="000000" w:themeColor="text1"/>
        </w:rPr>
        <w:t>2</w:t>
      </w:r>
      <w:r w:rsidRPr="007F03BF">
        <w:rPr>
          <w:rFonts w:ascii="Arial" w:hAnsi="Arial" w:cs="Arial"/>
          <w:color w:val="000000" w:themeColor="text1"/>
        </w:rPr>
        <w:t xml:space="preserve"> sujetos obligados, de conformidad con el Padrón de sujetos obligados supeditados al cumplimiento de la Ley de Transparencia, Acceso a la Información Pública y Rendición de Cuentas de la Ciudad de México</w:t>
      </w:r>
      <w:r w:rsidRPr="007F03BF" w:rsidDel="005B5D1B">
        <w:rPr>
          <w:rFonts w:ascii="Arial" w:hAnsi="Arial" w:cs="Arial"/>
          <w:color w:val="000000" w:themeColor="text1"/>
        </w:rPr>
        <w:t xml:space="preserve"> </w:t>
      </w:r>
      <w:r w:rsidRPr="007F03BF">
        <w:rPr>
          <w:rFonts w:ascii="Arial" w:hAnsi="Arial" w:cs="Arial"/>
          <w:color w:val="000000" w:themeColor="text1"/>
        </w:rPr>
        <w:t xml:space="preserve">y de la Ley de Protección de Datos Personales en Posesión de los sujetos obligados de la Ciudad de México vigente. De los </w:t>
      </w:r>
      <w:r w:rsidR="00443947" w:rsidRPr="007F03BF">
        <w:rPr>
          <w:rFonts w:ascii="Arial" w:hAnsi="Arial" w:cs="Arial"/>
          <w:color w:val="000000" w:themeColor="text1"/>
        </w:rPr>
        <w:t>2</w:t>
      </w:r>
      <w:r w:rsidRPr="007F03BF">
        <w:rPr>
          <w:rFonts w:ascii="Arial" w:hAnsi="Arial" w:cs="Arial"/>
          <w:color w:val="000000" w:themeColor="text1"/>
        </w:rPr>
        <w:t xml:space="preserve"> sujetos obligados que integran el Padrón, </w:t>
      </w:r>
      <w:r w:rsidR="00443947" w:rsidRPr="007F03BF">
        <w:rPr>
          <w:rFonts w:ascii="Arial" w:hAnsi="Arial" w:cs="Arial"/>
          <w:color w:val="000000" w:themeColor="text1"/>
        </w:rPr>
        <w:t xml:space="preserve">1 </w:t>
      </w:r>
      <w:r w:rsidRPr="007F03BF">
        <w:rPr>
          <w:rFonts w:ascii="Arial" w:hAnsi="Arial" w:cs="Arial"/>
          <w:color w:val="000000" w:themeColor="text1"/>
        </w:rPr>
        <w:t xml:space="preserve">se integró al Padrón durante el primer semestre del año 2019 y fue evaluado durante la Segunda Evaluación Vinculante 2019. </w:t>
      </w:r>
    </w:p>
    <w:p w14:paraId="0BC62704" w14:textId="77777777" w:rsidR="00585469" w:rsidRPr="007F03BF" w:rsidRDefault="00585469" w:rsidP="00585469">
      <w:pPr>
        <w:spacing w:before="100" w:beforeAutospacing="1" w:after="100" w:afterAutospacing="1" w:line="360" w:lineRule="auto"/>
        <w:contextualSpacing/>
        <w:jc w:val="both"/>
        <w:rPr>
          <w:rFonts w:ascii="Arial" w:hAnsi="Arial" w:cs="Arial"/>
          <w:color w:val="000000" w:themeColor="text1"/>
        </w:rPr>
      </w:pPr>
    </w:p>
    <w:p w14:paraId="4BD37E13" w14:textId="77777777" w:rsidR="00585469" w:rsidRPr="007F03BF" w:rsidRDefault="00585469" w:rsidP="00585469">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El Congreso de la Ciudad de México obtuvo un índice </w:t>
      </w:r>
      <w:r w:rsidR="00BC7CDF" w:rsidRPr="007F03BF">
        <w:rPr>
          <w:rFonts w:ascii="Arial" w:hAnsi="Arial" w:cs="Arial"/>
          <w:color w:val="000000" w:themeColor="text1"/>
        </w:rPr>
        <w:t xml:space="preserve">general de cumplimiento </w:t>
      </w:r>
      <w:r w:rsidRPr="007F03BF">
        <w:rPr>
          <w:rFonts w:ascii="Arial" w:hAnsi="Arial" w:cs="Arial"/>
          <w:color w:val="000000" w:themeColor="text1"/>
        </w:rPr>
        <w:t>de o</w:t>
      </w:r>
      <w:r w:rsidR="00BC7CDF" w:rsidRPr="007F03BF">
        <w:rPr>
          <w:rFonts w:ascii="Arial" w:hAnsi="Arial" w:cs="Arial"/>
          <w:color w:val="000000" w:themeColor="text1"/>
        </w:rPr>
        <w:t xml:space="preserve">bligaciones de transparencia de 99.10%. </w:t>
      </w:r>
      <w:r w:rsidRPr="007F03BF">
        <w:rPr>
          <w:rFonts w:ascii="Arial" w:hAnsi="Arial" w:cs="Arial"/>
          <w:color w:val="000000" w:themeColor="text1"/>
        </w:rPr>
        <w:t xml:space="preserve"> </w:t>
      </w:r>
    </w:p>
    <w:p w14:paraId="0B986C88" w14:textId="77777777" w:rsidR="00585469" w:rsidRPr="007F03BF" w:rsidRDefault="00585469" w:rsidP="00585469">
      <w:pPr>
        <w:spacing w:before="100" w:beforeAutospacing="1" w:after="100" w:afterAutospacing="1" w:line="360" w:lineRule="auto"/>
        <w:contextualSpacing/>
        <w:jc w:val="both"/>
        <w:rPr>
          <w:rFonts w:ascii="Arial" w:hAnsi="Arial" w:cs="Arial"/>
          <w:color w:val="000000" w:themeColor="text1"/>
        </w:rPr>
      </w:pPr>
    </w:p>
    <w:p w14:paraId="718857C6" w14:textId="77777777" w:rsidR="00585469" w:rsidRPr="007F03BF" w:rsidRDefault="00585469" w:rsidP="00585469">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Los sujetos obligados, así como su Índice de Cumplimiento de obligaciones de transparencia del Portal de Internet (IGOT-PI), el de la Plataforma Nacional de Transparencia (IGOT-PNT) y el Índice General de Cumplimiento de obligaciones de transparencia (IGOT) se presentan en la siguiente tabla, ordenados de forma descendente, respecto del IGOT: </w:t>
      </w:r>
    </w:p>
    <w:p w14:paraId="169C33E1" w14:textId="77777777" w:rsidR="00071E52" w:rsidRPr="007F03BF" w:rsidRDefault="00071E52" w:rsidP="00071E52">
      <w:pPr>
        <w:spacing w:before="100" w:beforeAutospacing="1" w:after="100" w:afterAutospacing="1" w:line="360" w:lineRule="auto"/>
        <w:contextualSpacing/>
        <w:jc w:val="both"/>
        <w:rPr>
          <w:rFonts w:ascii="Arial" w:hAnsi="Arial" w:cs="Arial"/>
        </w:rPr>
      </w:pPr>
    </w:p>
    <w:tbl>
      <w:tblPr>
        <w:tblW w:w="8926" w:type="dxa"/>
        <w:tblCellMar>
          <w:left w:w="70" w:type="dxa"/>
          <w:right w:w="70" w:type="dxa"/>
        </w:tblCellMar>
        <w:tblLook w:val="04A0" w:firstRow="1" w:lastRow="0" w:firstColumn="1" w:lastColumn="0" w:noHBand="0" w:noVBand="1"/>
      </w:tblPr>
      <w:tblGrid>
        <w:gridCol w:w="529"/>
        <w:gridCol w:w="5136"/>
        <w:gridCol w:w="1123"/>
        <w:gridCol w:w="1263"/>
        <w:gridCol w:w="875"/>
      </w:tblGrid>
      <w:tr w:rsidR="00071E52" w:rsidRPr="007F03BF" w14:paraId="7EBFF268" w14:textId="77777777" w:rsidTr="008C4FD7">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017EF66A" w14:textId="77777777" w:rsidR="00071E52" w:rsidRPr="007F03BF" w:rsidRDefault="00071E52" w:rsidP="00071E52">
            <w:pPr>
              <w:jc w:val="center"/>
              <w:rPr>
                <w:rFonts w:ascii="Arial" w:hAnsi="Arial" w:cs="Arial"/>
                <w:b/>
                <w:bCs/>
                <w:color w:val="000000"/>
                <w:sz w:val="20"/>
                <w:szCs w:val="20"/>
              </w:rPr>
            </w:pPr>
            <w:r w:rsidRPr="007F03BF">
              <w:rPr>
                <w:rFonts w:ascii="Arial" w:hAnsi="Arial" w:cs="Arial"/>
                <w:b/>
                <w:bCs/>
                <w:color w:val="000000"/>
                <w:sz w:val="20"/>
                <w:szCs w:val="20"/>
              </w:rPr>
              <w:t xml:space="preserve">Resultados de la </w:t>
            </w:r>
            <w:r w:rsidR="00B2542B" w:rsidRPr="007F03BF">
              <w:rPr>
                <w:rFonts w:ascii="Arial" w:hAnsi="Arial" w:cs="Arial"/>
                <w:b/>
                <w:bCs/>
                <w:color w:val="000000"/>
                <w:sz w:val="20"/>
                <w:szCs w:val="20"/>
              </w:rPr>
              <w:t>Primera</w:t>
            </w:r>
            <w:r w:rsidRPr="007F03BF">
              <w:rPr>
                <w:rFonts w:ascii="Arial" w:hAnsi="Arial" w:cs="Arial"/>
                <w:b/>
                <w:bCs/>
                <w:color w:val="000000"/>
                <w:sz w:val="20"/>
                <w:szCs w:val="20"/>
              </w:rPr>
              <w:t xml:space="preserve"> Evaluación Vinculante 20</w:t>
            </w:r>
            <w:r w:rsidR="00B2542B" w:rsidRPr="007F03BF">
              <w:rPr>
                <w:rFonts w:ascii="Arial" w:hAnsi="Arial" w:cs="Arial"/>
                <w:b/>
                <w:bCs/>
                <w:color w:val="000000"/>
                <w:sz w:val="20"/>
                <w:szCs w:val="20"/>
              </w:rPr>
              <w:t>20</w:t>
            </w:r>
            <w:r w:rsidRPr="007F03BF">
              <w:rPr>
                <w:rFonts w:ascii="Arial" w:hAnsi="Arial" w:cs="Arial"/>
                <w:b/>
                <w:bCs/>
                <w:color w:val="000000"/>
                <w:sz w:val="20"/>
                <w:szCs w:val="20"/>
              </w:rPr>
              <w:t xml:space="preserve">, respecto de las recomendaciones y observaciones de la </w:t>
            </w:r>
            <w:r w:rsidR="00B2542B" w:rsidRPr="007F03BF">
              <w:rPr>
                <w:rFonts w:ascii="Arial" w:hAnsi="Arial" w:cs="Arial"/>
                <w:b/>
                <w:bCs/>
                <w:color w:val="000000"/>
                <w:sz w:val="20"/>
                <w:szCs w:val="20"/>
              </w:rPr>
              <w:t>Segunda</w:t>
            </w:r>
            <w:r w:rsidRPr="007F03BF">
              <w:rPr>
                <w:rFonts w:ascii="Arial" w:hAnsi="Arial" w:cs="Arial"/>
                <w:b/>
                <w:bCs/>
                <w:color w:val="000000"/>
                <w:sz w:val="20"/>
                <w:szCs w:val="20"/>
              </w:rPr>
              <w:t xml:space="preserve"> Evaluación Vinculante 2019</w:t>
            </w:r>
          </w:p>
        </w:tc>
      </w:tr>
      <w:tr w:rsidR="00071E52" w:rsidRPr="007F03BF" w14:paraId="5BF8F275" w14:textId="77777777" w:rsidTr="008C4FD7">
        <w:trPr>
          <w:trHeight w:val="340"/>
          <w:tblHeader/>
        </w:trPr>
        <w:tc>
          <w:tcPr>
            <w:tcW w:w="529" w:type="dxa"/>
            <w:tcBorders>
              <w:top w:val="nil"/>
              <w:left w:val="single" w:sz="4" w:space="0" w:color="auto"/>
              <w:bottom w:val="single" w:sz="4" w:space="0" w:color="auto"/>
              <w:right w:val="single" w:sz="4" w:space="0" w:color="auto"/>
            </w:tcBorders>
            <w:shd w:val="clear" w:color="auto" w:fill="70AD47" w:themeFill="accent6"/>
            <w:vAlign w:val="center"/>
            <w:hideMark/>
          </w:tcPr>
          <w:p w14:paraId="24C37EF0" w14:textId="77777777" w:rsidR="00071E52" w:rsidRPr="007F03BF" w:rsidRDefault="00071E52" w:rsidP="00071E52">
            <w:pPr>
              <w:jc w:val="center"/>
              <w:rPr>
                <w:rFonts w:ascii="Arial" w:hAnsi="Arial" w:cs="Arial"/>
                <w:b/>
                <w:bCs/>
                <w:color w:val="000000"/>
                <w:sz w:val="20"/>
                <w:szCs w:val="20"/>
              </w:rPr>
            </w:pPr>
            <w:r w:rsidRPr="007F03BF">
              <w:rPr>
                <w:rFonts w:ascii="Arial" w:hAnsi="Arial" w:cs="Arial"/>
                <w:b/>
                <w:bCs/>
                <w:color w:val="000000"/>
                <w:sz w:val="20"/>
                <w:szCs w:val="20"/>
              </w:rPr>
              <w:t>No.</w:t>
            </w:r>
          </w:p>
        </w:tc>
        <w:tc>
          <w:tcPr>
            <w:tcW w:w="5136" w:type="dxa"/>
            <w:tcBorders>
              <w:top w:val="nil"/>
              <w:left w:val="nil"/>
              <w:bottom w:val="single" w:sz="4" w:space="0" w:color="auto"/>
              <w:right w:val="single" w:sz="4" w:space="0" w:color="auto"/>
            </w:tcBorders>
            <w:shd w:val="clear" w:color="auto" w:fill="70AD47" w:themeFill="accent6"/>
            <w:vAlign w:val="center"/>
            <w:hideMark/>
          </w:tcPr>
          <w:p w14:paraId="7AE985A4" w14:textId="77777777" w:rsidR="00071E52" w:rsidRPr="007F03BF" w:rsidRDefault="00071E52" w:rsidP="00071E52">
            <w:pPr>
              <w:jc w:val="center"/>
              <w:rPr>
                <w:rFonts w:ascii="Arial" w:hAnsi="Arial" w:cs="Arial"/>
                <w:b/>
                <w:bCs/>
                <w:color w:val="000000"/>
                <w:sz w:val="20"/>
                <w:szCs w:val="20"/>
              </w:rPr>
            </w:pPr>
            <w:r w:rsidRPr="007F03BF">
              <w:rPr>
                <w:rFonts w:ascii="Arial" w:hAnsi="Arial" w:cs="Arial"/>
                <w:b/>
                <w:bCs/>
                <w:color w:val="000000"/>
                <w:sz w:val="20"/>
                <w:szCs w:val="20"/>
              </w:rPr>
              <w:t>Sujeto obligado</w:t>
            </w:r>
          </w:p>
        </w:tc>
        <w:tc>
          <w:tcPr>
            <w:tcW w:w="1123" w:type="dxa"/>
            <w:tcBorders>
              <w:top w:val="nil"/>
              <w:left w:val="nil"/>
              <w:bottom w:val="single" w:sz="4" w:space="0" w:color="auto"/>
              <w:right w:val="single" w:sz="4" w:space="0" w:color="auto"/>
            </w:tcBorders>
            <w:shd w:val="clear" w:color="auto" w:fill="70AD47" w:themeFill="accent6"/>
            <w:vAlign w:val="center"/>
            <w:hideMark/>
          </w:tcPr>
          <w:p w14:paraId="6BB8D737" w14:textId="77777777" w:rsidR="00071E52" w:rsidRPr="007F03BF" w:rsidRDefault="00071E52" w:rsidP="00071E52">
            <w:pPr>
              <w:jc w:val="center"/>
              <w:rPr>
                <w:rFonts w:ascii="Arial" w:hAnsi="Arial" w:cs="Arial"/>
                <w:b/>
                <w:bCs/>
                <w:color w:val="000000"/>
                <w:sz w:val="20"/>
                <w:szCs w:val="20"/>
              </w:rPr>
            </w:pPr>
            <w:r w:rsidRPr="007F03BF">
              <w:rPr>
                <w:rFonts w:ascii="Arial" w:hAnsi="Arial" w:cs="Arial"/>
                <w:b/>
                <w:bCs/>
                <w:color w:val="000000"/>
                <w:sz w:val="20"/>
                <w:szCs w:val="20"/>
              </w:rPr>
              <w:t>ICOT-PI</w:t>
            </w:r>
          </w:p>
        </w:tc>
        <w:tc>
          <w:tcPr>
            <w:tcW w:w="1263" w:type="dxa"/>
            <w:tcBorders>
              <w:top w:val="nil"/>
              <w:left w:val="nil"/>
              <w:bottom w:val="single" w:sz="4" w:space="0" w:color="auto"/>
              <w:right w:val="single" w:sz="4" w:space="0" w:color="auto"/>
            </w:tcBorders>
            <w:shd w:val="clear" w:color="auto" w:fill="70AD47" w:themeFill="accent6"/>
            <w:vAlign w:val="center"/>
            <w:hideMark/>
          </w:tcPr>
          <w:p w14:paraId="2D2555E3" w14:textId="77777777" w:rsidR="00071E52" w:rsidRPr="007F03BF" w:rsidRDefault="00071E52" w:rsidP="00071E52">
            <w:pPr>
              <w:jc w:val="center"/>
              <w:rPr>
                <w:rFonts w:ascii="Arial" w:hAnsi="Arial" w:cs="Arial"/>
                <w:b/>
                <w:bCs/>
                <w:color w:val="000000"/>
                <w:sz w:val="20"/>
                <w:szCs w:val="20"/>
              </w:rPr>
            </w:pPr>
            <w:r w:rsidRPr="007F03BF">
              <w:rPr>
                <w:rFonts w:ascii="Arial" w:hAnsi="Arial" w:cs="Arial"/>
                <w:b/>
                <w:bCs/>
                <w:color w:val="000000"/>
                <w:sz w:val="20"/>
                <w:szCs w:val="20"/>
              </w:rPr>
              <w:t>ICOT-PNT</w:t>
            </w:r>
          </w:p>
        </w:tc>
        <w:tc>
          <w:tcPr>
            <w:tcW w:w="875" w:type="dxa"/>
            <w:tcBorders>
              <w:top w:val="nil"/>
              <w:left w:val="nil"/>
              <w:bottom w:val="single" w:sz="4" w:space="0" w:color="auto"/>
              <w:right w:val="single" w:sz="4" w:space="0" w:color="auto"/>
            </w:tcBorders>
            <w:shd w:val="clear" w:color="auto" w:fill="70AD47" w:themeFill="accent6"/>
            <w:vAlign w:val="center"/>
            <w:hideMark/>
          </w:tcPr>
          <w:p w14:paraId="0C5CB784" w14:textId="77777777" w:rsidR="00071E52" w:rsidRPr="007F03BF" w:rsidRDefault="00071E52" w:rsidP="00071E52">
            <w:pPr>
              <w:jc w:val="center"/>
              <w:rPr>
                <w:rFonts w:ascii="Arial" w:hAnsi="Arial" w:cs="Arial"/>
                <w:b/>
                <w:bCs/>
                <w:color w:val="000000"/>
                <w:sz w:val="20"/>
                <w:szCs w:val="20"/>
              </w:rPr>
            </w:pPr>
            <w:r w:rsidRPr="007F03BF">
              <w:rPr>
                <w:rFonts w:ascii="Arial" w:hAnsi="Arial" w:cs="Arial"/>
                <w:b/>
                <w:bCs/>
                <w:color w:val="000000"/>
                <w:sz w:val="20"/>
                <w:szCs w:val="20"/>
              </w:rPr>
              <w:t>IGOT</w:t>
            </w:r>
          </w:p>
        </w:tc>
      </w:tr>
      <w:tr w:rsidR="00071E52" w:rsidRPr="007F03BF" w14:paraId="2336B0CE" w14:textId="77777777" w:rsidTr="00071E52">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787A527C" w14:textId="77777777" w:rsidR="00071E52" w:rsidRPr="007F03BF" w:rsidRDefault="00BC7CDF" w:rsidP="00071E52">
            <w:pPr>
              <w:jc w:val="center"/>
              <w:rPr>
                <w:rFonts w:ascii="Arial" w:hAnsi="Arial" w:cs="Arial"/>
                <w:color w:val="000000"/>
                <w:sz w:val="20"/>
                <w:szCs w:val="20"/>
              </w:rPr>
            </w:pPr>
            <w:r w:rsidRPr="007F03BF">
              <w:rPr>
                <w:rFonts w:ascii="Arial" w:hAnsi="Arial" w:cs="Arial"/>
                <w:color w:val="000000"/>
                <w:sz w:val="20"/>
                <w:szCs w:val="20"/>
              </w:rPr>
              <w:t>1</w:t>
            </w:r>
          </w:p>
        </w:tc>
        <w:tc>
          <w:tcPr>
            <w:tcW w:w="5136" w:type="dxa"/>
            <w:tcBorders>
              <w:top w:val="nil"/>
              <w:left w:val="nil"/>
              <w:bottom w:val="single" w:sz="4" w:space="0" w:color="auto"/>
              <w:right w:val="single" w:sz="4" w:space="0" w:color="auto"/>
            </w:tcBorders>
            <w:shd w:val="clear" w:color="auto" w:fill="auto"/>
            <w:vAlign w:val="center"/>
            <w:hideMark/>
          </w:tcPr>
          <w:p w14:paraId="07BB530A" w14:textId="77777777" w:rsidR="00071E52" w:rsidRPr="007F03BF" w:rsidRDefault="00BC7CDF" w:rsidP="00071E52">
            <w:pPr>
              <w:rPr>
                <w:rFonts w:ascii="Arial" w:hAnsi="Arial" w:cs="Arial"/>
                <w:color w:val="000000"/>
                <w:sz w:val="20"/>
                <w:szCs w:val="20"/>
              </w:rPr>
            </w:pPr>
            <w:r w:rsidRPr="007F03BF">
              <w:rPr>
                <w:rFonts w:ascii="Arial" w:hAnsi="Arial" w:cs="Arial"/>
                <w:color w:val="000000"/>
                <w:sz w:val="20"/>
                <w:szCs w:val="20"/>
              </w:rPr>
              <w:t xml:space="preserve">Congreso de la Ciudad de México </w:t>
            </w:r>
          </w:p>
        </w:tc>
        <w:tc>
          <w:tcPr>
            <w:tcW w:w="1123" w:type="dxa"/>
            <w:tcBorders>
              <w:top w:val="nil"/>
              <w:left w:val="nil"/>
              <w:bottom w:val="single" w:sz="4" w:space="0" w:color="auto"/>
              <w:right w:val="single" w:sz="4" w:space="0" w:color="auto"/>
            </w:tcBorders>
            <w:shd w:val="clear" w:color="auto" w:fill="auto"/>
            <w:vAlign w:val="center"/>
            <w:hideMark/>
          </w:tcPr>
          <w:p w14:paraId="386D6101" w14:textId="77777777" w:rsidR="00071E52" w:rsidRPr="007F03BF" w:rsidRDefault="00071E52" w:rsidP="00071E52">
            <w:pPr>
              <w:jc w:val="center"/>
              <w:rPr>
                <w:rFonts w:ascii="Arial" w:hAnsi="Arial" w:cs="Arial"/>
                <w:color w:val="000000"/>
                <w:sz w:val="20"/>
                <w:szCs w:val="20"/>
              </w:rPr>
            </w:pPr>
            <w:r w:rsidRPr="007F03BF">
              <w:rPr>
                <w:rFonts w:ascii="Arial" w:hAnsi="Arial" w:cs="Arial"/>
                <w:color w:val="000000"/>
                <w:sz w:val="20"/>
                <w:szCs w:val="20"/>
              </w:rPr>
              <w:t>9</w:t>
            </w:r>
            <w:r w:rsidR="00BC7CDF" w:rsidRPr="007F03BF">
              <w:rPr>
                <w:rFonts w:ascii="Arial" w:hAnsi="Arial" w:cs="Arial"/>
                <w:color w:val="000000"/>
                <w:sz w:val="20"/>
                <w:szCs w:val="20"/>
              </w:rPr>
              <w:t>9.26</w:t>
            </w:r>
          </w:p>
        </w:tc>
        <w:tc>
          <w:tcPr>
            <w:tcW w:w="1263" w:type="dxa"/>
            <w:tcBorders>
              <w:top w:val="nil"/>
              <w:left w:val="nil"/>
              <w:bottom w:val="single" w:sz="4" w:space="0" w:color="auto"/>
              <w:right w:val="single" w:sz="4" w:space="0" w:color="auto"/>
            </w:tcBorders>
            <w:shd w:val="clear" w:color="auto" w:fill="auto"/>
            <w:vAlign w:val="center"/>
            <w:hideMark/>
          </w:tcPr>
          <w:p w14:paraId="572F29F2" w14:textId="77777777" w:rsidR="00071E52" w:rsidRPr="007F03BF" w:rsidRDefault="00071E52" w:rsidP="00071E52">
            <w:pPr>
              <w:jc w:val="center"/>
              <w:rPr>
                <w:rFonts w:ascii="Arial" w:hAnsi="Arial" w:cs="Arial"/>
                <w:color w:val="000000"/>
                <w:sz w:val="20"/>
                <w:szCs w:val="20"/>
              </w:rPr>
            </w:pPr>
            <w:r w:rsidRPr="007F03BF">
              <w:rPr>
                <w:rFonts w:ascii="Arial" w:hAnsi="Arial" w:cs="Arial"/>
                <w:color w:val="000000"/>
                <w:sz w:val="20"/>
                <w:szCs w:val="20"/>
              </w:rPr>
              <w:t>9</w:t>
            </w:r>
            <w:r w:rsidR="00BC7CDF" w:rsidRPr="007F03BF">
              <w:rPr>
                <w:rFonts w:ascii="Arial" w:hAnsi="Arial" w:cs="Arial"/>
                <w:color w:val="000000"/>
                <w:sz w:val="20"/>
                <w:szCs w:val="20"/>
              </w:rPr>
              <w:t>8.94</w:t>
            </w:r>
          </w:p>
        </w:tc>
        <w:tc>
          <w:tcPr>
            <w:tcW w:w="875" w:type="dxa"/>
            <w:tcBorders>
              <w:top w:val="nil"/>
              <w:left w:val="nil"/>
              <w:bottom w:val="single" w:sz="4" w:space="0" w:color="auto"/>
              <w:right w:val="single" w:sz="4" w:space="0" w:color="auto"/>
            </w:tcBorders>
            <w:shd w:val="clear" w:color="auto" w:fill="auto"/>
            <w:vAlign w:val="center"/>
            <w:hideMark/>
          </w:tcPr>
          <w:p w14:paraId="476906CD" w14:textId="77777777" w:rsidR="00071E52" w:rsidRPr="007F03BF" w:rsidRDefault="00071E52" w:rsidP="00071E52">
            <w:pPr>
              <w:jc w:val="center"/>
              <w:rPr>
                <w:rFonts w:ascii="Arial" w:hAnsi="Arial" w:cs="Arial"/>
                <w:color w:val="000000"/>
                <w:sz w:val="20"/>
                <w:szCs w:val="20"/>
              </w:rPr>
            </w:pPr>
            <w:r w:rsidRPr="007F03BF">
              <w:rPr>
                <w:rFonts w:ascii="Arial" w:hAnsi="Arial" w:cs="Arial"/>
                <w:color w:val="000000"/>
                <w:sz w:val="20"/>
                <w:szCs w:val="20"/>
              </w:rPr>
              <w:t>9</w:t>
            </w:r>
            <w:r w:rsidR="00BC7CDF" w:rsidRPr="007F03BF">
              <w:rPr>
                <w:rFonts w:ascii="Arial" w:hAnsi="Arial" w:cs="Arial"/>
                <w:color w:val="000000"/>
                <w:sz w:val="20"/>
                <w:szCs w:val="20"/>
              </w:rPr>
              <w:t>9.10</w:t>
            </w:r>
          </w:p>
        </w:tc>
      </w:tr>
    </w:tbl>
    <w:p w14:paraId="04298982" w14:textId="77777777" w:rsidR="00071E52" w:rsidRPr="007F03BF" w:rsidRDefault="00071E52" w:rsidP="00071E52">
      <w:pPr>
        <w:spacing w:before="100" w:beforeAutospacing="1" w:after="100" w:afterAutospacing="1" w:line="360" w:lineRule="auto"/>
        <w:contextualSpacing/>
        <w:jc w:val="both"/>
        <w:rPr>
          <w:rFonts w:ascii="Arial" w:hAnsi="Arial" w:cs="Arial"/>
          <w:sz w:val="16"/>
          <w:szCs w:val="16"/>
        </w:rPr>
      </w:pPr>
      <w:r w:rsidRPr="007F03BF">
        <w:rPr>
          <w:rFonts w:ascii="Arial" w:hAnsi="Arial" w:cs="Arial"/>
          <w:b/>
          <w:sz w:val="16"/>
          <w:szCs w:val="16"/>
        </w:rPr>
        <w:t>Nota metodológica</w:t>
      </w:r>
      <w:r w:rsidRPr="007F03BF">
        <w:rPr>
          <w:rFonts w:ascii="Arial" w:hAnsi="Arial" w:cs="Arial"/>
          <w:sz w:val="16"/>
          <w:szCs w:val="16"/>
        </w:rPr>
        <w:t xml:space="preserve">: </w:t>
      </w:r>
    </w:p>
    <w:p w14:paraId="488CFC52" w14:textId="77777777" w:rsidR="00071E52" w:rsidRPr="007F03BF" w:rsidRDefault="00071E52" w:rsidP="00071E52">
      <w:pPr>
        <w:spacing w:before="100" w:beforeAutospacing="1" w:after="100" w:afterAutospacing="1" w:line="360" w:lineRule="auto"/>
        <w:contextualSpacing/>
        <w:jc w:val="both"/>
        <w:rPr>
          <w:rFonts w:ascii="Arial" w:hAnsi="Arial" w:cs="Arial"/>
          <w:sz w:val="16"/>
          <w:szCs w:val="16"/>
        </w:rPr>
      </w:pPr>
      <w:r w:rsidRPr="007F03BF">
        <w:rPr>
          <w:rFonts w:ascii="Arial" w:hAnsi="Arial" w:cs="Arial"/>
          <w:sz w:val="16"/>
          <w:szCs w:val="16"/>
        </w:rPr>
        <w:t>El IGOT se compone del promedio de ICOT-PI e ICOT-PNT.</w:t>
      </w:r>
    </w:p>
    <w:p w14:paraId="63B8A330" w14:textId="77777777" w:rsidR="00071E52" w:rsidRPr="007F03BF" w:rsidRDefault="00071E52" w:rsidP="00071E52">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PI:</w:t>
      </w:r>
      <w:r w:rsidRPr="007F03BF">
        <w:rPr>
          <w:rFonts w:ascii="Arial" w:hAnsi="Arial" w:cs="Arial"/>
          <w:color w:val="000000"/>
          <w:sz w:val="16"/>
          <w:szCs w:val="16"/>
        </w:rPr>
        <w:t xml:space="preserve"> corresponde al porcentaje del índice que hace referencia a la información que se encuentra publicada y actualizada en el Portal de Internet (PI) del sujeto obligado. </w:t>
      </w:r>
    </w:p>
    <w:p w14:paraId="3D595AA1" w14:textId="77777777" w:rsidR="00071E52" w:rsidRPr="007F03BF" w:rsidRDefault="00071E52" w:rsidP="00071E52">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PNT:</w:t>
      </w:r>
      <w:r w:rsidRPr="007F03BF">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sujeto obligado.</w:t>
      </w:r>
    </w:p>
    <w:p w14:paraId="27F6A570" w14:textId="77777777" w:rsidR="00071E52" w:rsidRPr="007F03BF" w:rsidRDefault="00071E52" w:rsidP="00071E52">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IGOT: </w:t>
      </w:r>
      <w:r w:rsidRPr="007F03BF">
        <w:rPr>
          <w:rFonts w:ascii="Arial" w:hAnsi="Arial" w:cs="Arial"/>
          <w:color w:val="000000"/>
          <w:sz w:val="16"/>
          <w:szCs w:val="16"/>
        </w:rPr>
        <w:t>corresponde al porcentaje del índice que hace referencia a la información que se encuentra publicada y actualizada tanto en la PNT y el PI del sujeto obligado.</w:t>
      </w:r>
    </w:p>
    <w:p w14:paraId="3C357016" w14:textId="77777777" w:rsidR="00071E52" w:rsidRPr="007F03BF" w:rsidRDefault="00071E52" w:rsidP="00071E52">
      <w:pPr>
        <w:spacing w:before="100" w:beforeAutospacing="1" w:after="100" w:afterAutospacing="1" w:line="360" w:lineRule="auto"/>
        <w:contextualSpacing/>
        <w:jc w:val="both"/>
        <w:rPr>
          <w:rFonts w:ascii="Arial" w:hAnsi="Arial" w:cs="Arial"/>
          <w:color w:val="000000"/>
        </w:rPr>
      </w:pPr>
    </w:p>
    <w:p w14:paraId="6919D0E2" w14:textId="5E142E43" w:rsidR="00071E52" w:rsidRPr="007F03BF" w:rsidRDefault="00071E52" w:rsidP="00071E52">
      <w:pPr>
        <w:spacing w:before="100" w:beforeAutospacing="1" w:after="100" w:afterAutospacing="1" w:line="360" w:lineRule="auto"/>
        <w:contextualSpacing/>
        <w:jc w:val="both"/>
        <w:rPr>
          <w:rFonts w:ascii="Arial" w:hAnsi="Arial" w:cs="Arial"/>
          <w:color w:val="000000"/>
        </w:rPr>
      </w:pPr>
      <w:r w:rsidRPr="007F03BF">
        <w:rPr>
          <w:rFonts w:ascii="Arial" w:hAnsi="Arial" w:cs="Arial"/>
        </w:rPr>
        <w:lastRenderedPageBreak/>
        <w:t xml:space="preserve">En atención a la Tabla de Aplicabilidad realizada por la </w:t>
      </w:r>
      <w:r w:rsidR="000E5534" w:rsidRPr="007F03BF">
        <w:rPr>
          <w:rFonts w:ascii="Arial" w:hAnsi="Arial" w:cs="Arial"/>
        </w:rPr>
        <w:t xml:space="preserve">Dirección </w:t>
      </w:r>
      <w:r w:rsidRPr="007F03BF">
        <w:rPr>
          <w:rFonts w:ascii="Arial" w:hAnsi="Arial" w:cs="Arial"/>
        </w:rPr>
        <w:t xml:space="preserve">del Instituto, las obligaciones </w:t>
      </w:r>
      <w:r w:rsidR="00974CBA" w:rsidRPr="007F03BF">
        <w:rPr>
          <w:rFonts w:ascii="Arial" w:hAnsi="Arial" w:cs="Arial"/>
        </w:rPr>
        <w:t>que el Poder Legislativo</w:t>
      </w:r>
      <w:r w:rsidRPr="007F03BF">
        <w:rPr>
          <w:rFonts w:ascii="Arial" w:hAnsi="Arial" w:cs="Arial"/>
        </w:rPr>
        <w:t xml:space="preserve"> debe actualizar y publicar en el SIPOT de la PNT, así como en sus respectivos portales de internet son las contempladas en los siguientes artículos: </w:t>
      </w:r>
    </w:p>
    <w:p w14:paraId="1E6F6697" w14:textId="77777777" w:rsidR="00071E52" w:rsidRPr="007F03BF" w:rsidRDefault="00071E52" w:rsidP="00F04A2C">
      <w:pPr>
        <w:pStyle w:val="Prrafodelista"/>
        <w:numPr>
          <w:ilvl w:val="0"/>
          <w:numId w:val="8"/>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121. Obligaciones comunes, </w:t>
      </w:r>
    </w:p>
    <w:p w14:paraId="32BF6554" w14:textId="77777777" w:rsidR="00071E52" w:rsidRPr="007F03BF" w:rsidRDefault="00071E52" w:rsidP="00F04A2C">
      <w:pPr>
        <w:pStyle w:val="Prrafodelista"/>
        <w:numPr>
          <w:ilvl w:val="0"/>
          <w:numId w:val="8"/>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125. Obligaciones Específicas del Poder Legislativo, </w:t>
      </w:r>
    </w:p>
    <w:p w14:paraId="739F2360" w14:textId="77777777" w:rsidR="00071E52" w:rsidRPr="007F03BF" w:rsidRDefault="00071E52" w:rsidP="00F04A2C">
      <w:pPr>
        <w:pStyle w:val="Prrafodelista"/>
        <w:numPr>
          <w:ilvl w:val="0"/>
          <w:numId w:val="8"/>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145. Disposiciones Particulares, </w:t>
      </w:r>
    </w:p>
    <w:p w14:paraId="3B1D0E3D" w14:textId="77777777" w:rsidR="00071E52" w:rsidRPr="007F03BF" w:rsidRDefault="00071E52" w:rsidP="00F04A2C">
      <w:pPr>
        <w:pStyle w:val="Prrafodelista"/>
        <w:numPr>
          <w:ilvl w:val="0"/>
          <w:numId w:val="8"/>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146. Disposiciones Particulares, </w:t>
      </w:r>
    </w:p>
    <w:p w14:paraId="64B81772" w14:textId="77777777" w:rsidR="00071E52" w:rsidRPr="007F03BF" w:rsidRDefault="00071E52" w:rsidP="00F04A2C">
      <w:pPr>
        <w:pStyle w:val="Prrafodelista"/>
        <w:numPr>
          <w:ilvl w:val="0"/>
          <w:numId w:val="8"/>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147. Disposiciones Particulares. </w:t>
      </w:r>
    </w:p>
    <w:p w14:paraId="05684FBA" w14:textId="77777777" w:rsidR="00071E52" w:rsidRPr="007F03BF" w:rsidRDefault="00071E52" w:rsidP="00FF7BD9">
      <w:pPr>
        <w:pStyle w:val="Ttulo2"/>
        <w:contextualSpacing/>
        <w:jc w:val="both"/>
        <w:rPr>
          <w:rFonts w:ascii="Arial" w:hAnsi="Arial" w:cs="Arial"/>
          <w:b/>
          <w:color w:val="auto"/>
          <w:sz w:val="24"/>
          <w:szCs w:val="24"/>
        </w:rPr>
      </w:pPr>
      <w:bookmarkStart w:id="20" w:name="_Toc39684002"/>
      <w:r w:rsidRPr="007F03BF">
        <w:rPr>
          <w:rFonts w:ascii="Arial" w:hAnsi="Arial" w:cs="Arial"/>
          <w:b/>
          <w:color w:val="auto"/>
          <w:sz w:val="24"/>
          <w:szCs w:val="24"/>
        </w:rPr>
        <w:t>Análisis global de cumplimiento de</w:t>
      </w:r>
      <w:r w:rsidR="004903C6" w:rsidRPr="007F03BF">
        <w:rPr>
          <w:rFonts w:ascii="Arial" w:hAnsi="Arial" w:cs="Arial"/>
          <w:b/>
          <w:color w:val="auto"/>
          <w:sz w:val="24"/>
          <w:szCs w:val="24"/>
        </w:rPr>
        <w:t>l Poder Legislativo</w:t>
      </w:r>
      <w:bookmarkEnd w:id="20"/>
    </w:p>
    <w:p w14:paraId="0DC747D9" w14:textId="77777777" w:rsidR="00071E52" w:rsidRPr="007F03BF" w:rsidRDefault="00071E52" w:rsidP="00071E52">
      <w:pPr>
        <w:rPr>
          <w:rFonts w:ascii="Arial" w:hAnsi="Arial" w:cs="Arial"/>
        </w:rPr>
      </w:pPr>
    </w:p>
    <w:p w14:paraId="311C08EE" w14:textId="77777777" w:rsidR="00071E52" w:rsidRPr="007F03BF" w:rsidRDefault="00071E52" w:rsidP="00071E52">
      <w:pPr>
        <w:spacing w:before="100" w:beforeAutospacing="1" w:after="100" w:afterAutospacing="1" w:line="360" w:lineRule="auto"/>
        <w:contextualSpacing/>
        <w:jc w:val="both"/>
        <w:rPr>
          <w:rFonts w:ascii="Arial" w:hAnsi="Arial" w:cs="Arial"/>
          <w:u w:val="single"/>
        </w:rPr>
      </w:pPr>
      <w:r w:rsidRPr="007F03BF">
        <w:rPr>
          <w:rFonts w:ascii="Arial" w:hAnsi="Arial" w:cs="Arial"/>
          <w:u w:val="single"/>
        </w:rPr>
        <w:t>Índices Globales de Cumplimiento de las obligaciones de transparencia</w:t>
      </w:r>
    </w:p>
    <w:p w14:paraId="1B8F55AD" w14:textId="77777777" w:rsidR="00071E52" w:rsidRPr="007F03BF" w:rsidRDefault="00071E52" w:rsidP="00071E52">
      <w:pPr>
        <w:spacing w:before="100" w:beforeAutospacing="1" w:after="100" w:afterAutospacing="1" w:line="360" w:lineRule="auto"/>
        <w:contextualSpacing/>
        <w:jc w:val="both"/>
        <w:rPr>
          <w:rFonts w:ascii="Arial" w:hAnsi="Arial" w:cs="Arial"/>
        </w:rPr>
      </w:pPr>
    </w:p>
    <w:p w14:paraId="64D67EB3" w14:textId="77777777" w:rsidR="00071E52" w:rsidRPr="007F03BF" w:rsidRDefault="00071E52" w:rsidP="00071E52">
      <w:pPr>
        <w:spacing w:before="100" w:beforeAutospacing="1" w:after="100" w:afterAutospacing="1" w:line="360" w:lineRule="auto"/>
        <w:contextualSpacing/>
        <w:jc w:val="both"/>
        <w:rPr>
          <w:rFonts w:ascii="Arial" w:hAnsi="Arial" w:cs="Arial"/>
        </w:rPr>
      </w:pPr>
      <w:r w:rsidRPr="007F03BF">
        <w:rPr>
          <w:rFonts w:ascii="Arial" w:hAnsi="Arial" w:cs="Arial"/>
        </w:rPr>
        <w:t>El ámbito del Poder Legislativo obtuvo un IGOT de 9</w:t>
      </w:r>
      <w:r w:rsidR="00BC7CDF" w:rsidRPr="007F03BF">
        <w:rPr>
          <w:rFonts w:ascii="Arial" w:hAnsi="Arial" w:cs="Arial"/>
        </w:rPr>
        <w:t>9</w:t>
      </w:r>
      <w:r w:rsidRPr="007F03BF">
        <w:rPr>
          <w:rFonts w:ascii="Arial" w:hAnsi="Arial" w:cs="Arial"/>
        </w:rPr>
        <w:t>.1</w:t>
      </w:r>
      <w:r w:rsidR="00BC7CDF" w:rsidRPr="007F03BF">
        <w:rPr>
          <w:rFonts w:ascii="Arial" w:hAnsi="Arial" w:cs="Arial"/>
        </w:rPr>
        <w:t>0</w:t>
      </w:r>
      <w:r w:rsidRPr="007F03BF">
        <w:rPr>
          <w:rFonts w:ascii="Arial" w:hAnsi="Arial" w:cs="Arial"/>
        </w:rPr>
        <w:t xml:space="preserve">%, el cual está compuesto por un índice de </w:t>
      </w:r>
      <w:r w:rsidR="00BC7CDF" w:rsidRPr="007F03BF">
        <w:rPr>
          <w:rFonts w:ascii="Arial" w:hAnsi="Arial" w:cs="Arial"/>
        </w:rPr>
        <w:t>98.94</w:t>
      </w:r>
      <w:r w:rsidRPr="007F03BF">
        <w:rPr>
          <w:rFonts w:ascii="Arial" w:hAnsi="Arial" w:cs="Arial"/>
        </w:rPr>
        <w:t xml:space="preserve">% en lo que corresponde a la Plataforma Nacional de Transparencia (PNT) y un índice de </w:t>
      </w:r>
      <w:r w:rsidR="00BC7CDF" w:rsidRPr="007F03BF">
        <w:rPr>
          <w:rFonts w:ascii="Arial" w:hAnsi="Arial" w:cs="Arial"/>
        </w:rPr>
        <w:t>99.26</w:t>
      </w:r>
      <w:r w:rsidRPr="007F03BF">
        <w:rPr>
          <w:rFonts w:ascii="Arial" w:hAnsi="Arial" w:cs="Arial"/>
        </w:rPr>
        <w:t>% en lo que se refiere al Portal de Transparencia (PI).</w:t>
      </w:r>
    </w:p>
    <w:p w14:paraId="13C7835B" w14:textId="77777777" w:rsidR="00071E52" w:rsidRPr="007F03BF" w:rsidRDefault="00071E52" w:rsidP="00071E52">
      <w:pPr>
        <w:spacing w:before="100" w:beforeAutospacing="1" w:after="100" w:afterAutospacing="1" w:line="360" w:lineRule="auto"/>
        <w:contextualSpacing/>
        <w:jc w:val="both"/>
        <w:rPr>
          <w:rFonts w:ascii="Arial" w:hAnsi="Arial" w:cs="Arial"/>
        </w:rPr>
      </w:pPr>
    </w:p>
    <w:p w14:paraId="6806E3DE" w14:textId="473FA6EB" w:rsidR="00071E52" w:rsidRPr="007F03BF" w:rsidRDefault="00BC7CDF" w:rsidP="00071E52">
      <w:pPr>
        <w:spacing w:before="100" w:beforeAutospacing="1" w:after="100" w:afterAutospacing="1" w:line="360" w:lineRule="auto"/>
        <w:contextualSpacing/>
        <w:jc w:val="both"/>
        <w:rPr>
          <w:rFonts w:ascii="Arial" w:hAnsi="Arial" w:cs="Arial"/>
        </w:rPr>
      </w:pPr>
      <w:r w:rsidRPr="007F03BF">
        <w:rPr>
          <w:rFonts w:ascii="Arial" w:hAnsi="Arial" w:cs="Arial"/>
        </w:rPr>
        <w:t>El sujeto que</w:t>
      </w:r>
      <w:r w:rsidR="00974CBA" w:rsidRPr="007F03BF">
        <w:rPr>
          <w:rFonts w:ascii="Arial" w:hAnsi="Arial" w:cs="Arial"/>
        </w:rPr>
        <w:t xml:space="preserve"> integra este ámbito atend</w:t>
      </w:r>
      <w:r w:rsidRPr="007F03BF">
        <w:rPr>
          <w:rFonts w:ascii="Arial" w:hAnsi="Arial" w:cs="Arial"/>
        </w:rPr>
        <w:t>ió</w:t>
      </w:r>
      <w:r w:rsidR="00974CBA" w:rsidRPr="007F03BF">
        <w:rPr>
          <w:rFonts w:ascii="Arial" w:hAnsi="Arial" w:cs="Arial"/>
        </w:rPr>
        <w:t xml:space="preserve"> las recomendaciones y observaciones emitidas en la </w:t>
      </w:r>
      <w:r w:rsidRPr="007F03BF">
        <w:rPr>
          <w:rFonts w:ascii="Arial" w:hAnsi="Arial" w:cs="Arial"/>
        </w:rPr>
        <w:t>Segunda</w:t>
      </w:r>
      <w:r w:rsidR="00974CBA" w:rsidRPr="007F03BF">
        <w:rPr>
          <w:rFonts w:ascii="Arial" w:hAnsi="Arial" w:cs="Arial"/>
        </w:rPr>
        <w:t xml:space="preserve"> Evaluación Vinculante 2019; no obstante, </w:t>
      </w:r>
      <w:r w:rsidR="004903C6" w:rsidRPr="007F03BF">
        <w:rPr>
          <w:rFonts w:ascii="Arial" w:hAnsi="Arial" w:cs="Arial"/>
        </w:rPr>
        <w:t xml:space="preserve">el </w:t>
      </w:r>
      <w:r w:rsidR="00974CBA" w:rsidRPr="007F03BF">
        <w:rPr>
          <w:rFonts w:ascii="Arial" w:hAnsi="Arial" w:cs="Arial"/>
        </w:rPr>
        <w:t>Congreso de la Ciudad de México continúa presentando áreas de oportunidad, por lo que se sitúa en un cumplimiento parcial, con un IGOT superior al 90%.</w:t>
      </w:r>
      <w:r w:rsidR="00071E52" w:rsidRPr="007F03BF">
        <w:rPr>
          <w:rFonts w:ascii="Arial" w:hAnsi="Arial" w:cs="Arial"/>
        </w:rPr>
        <w:t xml:space="preserve"> </w:t>
      </w:r>
    </w:p>
    <w:p w14:paraId="6B60A31F" w14:textId="77777777" w:rsidR="00071E52" w:rsidRPr="007F03BF" w:rsidRDefault="00071E52" w:rsidP="00071E52">
      <w:pPr>
        <w:spacing w:before="100" w:beforeAutospacing="1" w:after="100" w:afterAutospacing="1" w:line="360" w:lineRule="auto"/>
        <w:contextualSpacing/>
        <w:jc w:val="both"/>
        <w:rPr>
          <w:rFonts w:ascii="Arial" w:hAnsi="Arial" w:cs="Arial"/>
        </w:rPr>
      </w:pPr>
    </w:p>
    <w:p w14:paraId="755ED68B" w14:textId="77777777" w:rsidR="00071E52" w:rsidRPr="007F03BF" w:rsidRDefault="00071E52" w:rsidP="00071E52">
      <w:pPr>
        <w:spacing w:before="100" w:beforeAutospacing="1" w:after="100" w:afterAutospacing="1" w:line="360" w:lineRule="auto"/>
        <w:contextualSpacing/>
        <w:jc w:val="both"/>
        <w:rPr>
          <w:rFonts w:ascii="Arial" w:hAnsi="Arial" w:cs="Arial"/>
        </w:rPr>
      </w:pPr>
      <w:r w:rsidRPr="007F03BF">
        <w:rPr>
          <w:rFonts w:ascii="Arial" w:hAnsi="Arial" w:cs="Arial"/>
        </w:rPr>
        <w:t xml:space="preserve">Con relación </w:t>
      </w:r>
      <w:r w:rsidR="00BC7CDF" w:rsidRPr="007F03BF">
        <w:rPr>
          <w:rFonts w:ascii="Arial" w:hAnsi="Arial" w:cs="Arial"/>
        </w:rPr>
        <w:t>a la</w:t>
      </w:r>
      <w:r w:rsidRPr="007F03BF">
        <w:rPr>
          <w:rFonts w:ascii="Arial" w:hAnsi="Arial" w:cs="Arial"/>
        </w:rPr>
        <w:t xml:space="preserve"> </w:t>
      </w:r>
      <w:r w:rsidR="00BC7CDF" w:rsidRPr="007F03BF">
        <w:rPr>
          <w:rFonts w:ascii="Arial" w:hAnsi="Arial" w:cs="Arial"/>
        </w:rPr>
        <w:t xml:space="preserve">Segunda </w:t>
      </w:r>
      <w:r w:rsidRPr="007F03BF">
        <w:rPr>
          <w:rFonts w:ascii="Arial" w:hAnsi="Arial" w:cs="Arial"/>
        </w:rPr>
        <w:t>Evaluación Vinculante 2019, este ámbito tuvo un incremento,</w:t>
      </w:r>
      <w:r w:rsidR="00BC7CDF" w:rsidRPr="007F03BF">
        <w:rPr>
          <w:rFonts w:ascii="Arial" w:hAnsi="Arial" w:cs="Arial"/>
        </w:rPr>
        <w:t xml:space="preserve"> </w:t>
      </w:r>
      <w:r w:rsidRPr="007F03BF">
        <w:rPr>
          <w:rFonts w:ascii="Arial" w:hAnsi="Arial" w:cs="Arial"/>
        </w:rPr>
        <w:t>pas</w:t>
      </w:r>
      <w:r w:rsidR="00BC7CDF" w:rsidRPr="007F03BF">
        <w:rPr>
          <w:rFonts w:ascii="Arial" w:hAnsi="Arial" w:cs="Arial"/>
        </w:rPr>
        <w:t xml:space="preserve">ando </w:t>
      </w:r>
      <w:r w:rsidRPr="007F03BF">
        <w:rPr>
          <w:rFonts w:ascii="Arial" w:hAnsi="Arial" w:cs="Arial"/>
        </w:rPr>
        <w:t xml:space="preserve">de tener un IGOT de </w:t>
      </w:r>
      <w:r w:rsidR="00BC7CDF" w:rsidRPr="007F03BF">
        <w:rPr>
          <w:rFonts w:ascii="Arial" w:hAnsi="Arial" w:cs="Arial"/>
        </w:rPr>
        <w:t>95.03</w:t>
      </w:r>
      <w:r w:rsidRPr="007F03BF">
        <w:rPr>
          <w:rFonts w:ascii="Arial" w:hAnsi="Arial" w:cs="Arial"/>
        </w:rPr>
        <w:t xml:space="preserve">% a uno de </w:t>
      </w:r>
      <w:r w:rsidR="00974CBA" w:rsidRPr="007F03BF">
        <w:rPr>
          <w:rFonts w:ascii="Arial" w:hAnsi="Arial" w:cs="Arial"/>
        </w:rPr>
        <w:t>9</w:t>
      </w:r>
      <w:r w:rsidR="00C12F1E" w:rsidRPr="007F03BF">
        <w:rPr>
          <w:rFonts w:ascii="Arial" w:hAnsi="Arial" w:cs="Arial"/>
        </w:rPr>
        <w:t>9</w:t>
      </w:r>
      <w:r w:rsidR="00BC7CDF" w:rsidRPr="007F03BF">
        <w:rPr>
          <w:rFonts w:ascii="Arial" w:hAnsi="Arial" w:cs="Arial"/>
        </w:rPr>
        <w:t>.10</w:t>
      </w:r>
      <w:r w:rsidRPr="007F03BF">
        <w:rPr>
          <w:rFonts w:ascii="Arial" w:hAnsi="Arial" w:cs="Arial"/>
        </w:rPr>
        <w:t>%</w:t>
      </w:r>
      <w:r w:rsidR="00BC7CDF" w:rsidRPr="007F03BF">
        <w:rPr>
          <w:rFonts w:ascii="Arial" w:hAnsi="Arial" w:cs="Arial"/>
        </w:rPr>
        <w:t xml:space="preserve">. </w:t>
      </w:r>
      <w:r w:rsidRPr="007F03BF">
        <w:rPr>
          <w:rFonts w:ascii="Arial" w:hAnsi="Arial" w:cs="Arial"/>
        </w:rPr>
        <w:t xml:space="preserve">Este ámbito tuvo un incremento de </w:t>
      </w:r>
      <w:r w:rsidR="00BC7CDF" w:rsidRPr="007F03BF">
        <w:rPr>
          <w:rFonts w:ascii="Arial" w:hAnsi="Arial" w:cs="Arial"/>
        </w:rPr>
        <w:t>4.07 puntos</w:t>
      </w:r>
      <w:r w:rsidRPr="007F03BF">
        <w:rPr>
          <w:rFonts w:ascii="Arial" w:hAnsi="Arial" w:cs="Arial"/>
        </w:rPr>
        <w:t xml:space="preserve"> dentro de su índice. </w:t>
      </w:r>
    </w:p>
    <w:p w14:paraId="52597D1E" w14:textId="77777777" w:rsidR="00071E52" w:rsidRPr="007F03BF" w:rsidRDefault="00071E52" w:rsidP="00071E52">
      <w:pPr>
        <w:spacing w:before="100" w:beforeAutospacing="1" w:after="100" w:afterAutospacing="1" w:line="360" w:lineRule="auto"/>
        <w:contextualSpacing/>
        <w:jc w:val="both"/>
        <w:rPr>
          <w:rFonts w:ascii="Arial" w:hAnsi="Arial" w:cs="Arial"/>
        </w:rPr>
      </w:pPr>
    </w:p>
    <w:p w14:paraId="4E21D405" w14:textId="77777777" w:rsidR="00071E52" w:rsidRPr="007F03BF" w:rsidRDefault="00071E52" w:rsidP="00071E52">
      <w:pPr>
        <w:spacing w:before="100" w:beforeAutospacing="1" w:after="100" w:afterAutospacing="1" w:line="360" w:lineRule="auto"/>
        <w:contextualSpacing/>
        <w:jc w:val="both"/>
        <w:rPr>
          <w:rFonts w:ascii="Arial" w:hAnsi="Arial" w:cs="Arial"/>
          <w:u w:val="single"/>
        </w:rPr>
      </w:pPr>
      <w:r w:rsidRPr="007F03BF">
        <w:rPr>
          <w:rFonts w:ascii="Arial" w:hAnsi="Arial" w:cs="Arial"/>
          <w:u w:val="single"/>
        </w:rPr>
        <w:t xml:space="preserve">Cumplimiento diferenciado por artículos </w:t>
      </w:r>
    </w:p>
    <w:p w14:paraId="02CFA1C8" w14:textId="77777777" w:rsidR="00071E52" w:rsidRPr="007F03BF" w:rsidRDefault="00071E52" w:rsidP="00071E52">
      <w:pPr>
        <w:spacing w:before="100" w:beforeAutospacing="1" w:after="100" w:afterAutospacing="1" w:line="360" w:lineRule="auto"/>
        <w:contextualSpacing/>
        <w:jc w:val="both"/>
        <w:rPr>
          <w:rFonts w:ascii="Arial" w:hAnsi="Arial" w:cs="Arial"/>
          <w:u w:val="single"/>
        </w:rPr>
      </w:pPr>
    </w:p>
    <w:p w14:paraId="727E2096" w14:textId="77777777" w:rsidR="00071E52" w:rsidRPr="007F03BF" w:rsidRDefault="00071E52" w:rsidP="00071E52">
      <w:pPr>
        <w:spacing w:before="100" w:beforeAutospacing="1" w:after="100" w:afterAutospacing="1" w:line="360" w:lineRule="auto"/>
        <w:contextualSpacing/>
        <w:jc w:val="both"/>
        <w:rPr>
          <w:rFonts w:ascii="Arial" w:hAnsi="Arial" w:cs="Arial"/>
        </w:rPr>
      </w:pPr>
      <w:r w:rsidRPr="007F03BF">
        <w:rPr>
          <w:rFonts w:ascii="Arial" w:hAnsi="Arial" w:cs="Arial"/>
        </w:rPr>
        <w:lastRenderedPageBreak/>
        <w:t xml:space="preserve">Con relación al tipo de obligaciones de transparencia, este ámbito ha cumplido parcialmente con sus obligaciones comunes, específicas y disposiciones particulares, obteniendo un ICP de </w:t>
      </w:r>
      <w:r w:rsidR="00974CBA" w:rsidRPr="007F03BF">
        <w:rPr>
          <w:rFonts w:ascii="Arial" w:hAnsi="Arial" w:cs="Arial"/>
        </w:rPr>
        <w:t>9</w:t>
      </w:r>
      <w:r w:rsidR="00BC7CDF" w:rsidRPr="007F03BF">
        <w:rPr>
          <w:rFonts w:ascii="Arial" w:hAnsi="Arial" w:cs="Arial"/>
        </w:rPr>
        <w:t>9.25%</w:t>
      </w:r>
      <w:r w:rsidRPr="007F03BF">
        <w:rPr>
          <w:rFonts w:ascii="Arial" w:hAnsi="Arial" w:cs="Arial"/>
        </w:rPr>
        <w:t>,</w:t>
      </w:r>
      <w:r w:rsidR="00974CBA" w:rsidRPr="007F03BF">
        <w:rPr>
          <w:rFonts w:ascii="Arial" w:hAnsi="Arial" w:cs="Arial"/>
        </w:rPr>
        <w:t xml:space="preserve"> 98</w:t>
      </w:r>
      <w:r w:rsidR="00BC7CDF" w:rsidRPr="007F03BF">
        <w:rPr>
          <w:rFonts w:ascii="Arial" w:hAnsi="Arial" w:cs="Arial"/>
        </w:rPr>
        <w:t>.13</w:t>
      </w:r>
      <w:r w:rsidR="00974CBA" w:rsidRPr="007F03BF">
        <w:rPr>
          <w:rFonts w:ascii="Arial" w:hAnsi="Arial" w:cs="Arial"/>
        </w:rPr>
        <w:t>%</w:t>
      </w:r>
      <w:r w:rsidRPr="007F03BF">
        <w:rPr>
          <w:rFonts w:ascii="Arial" w:hAnsi="Arial" w:cs="Arial"/>
        </w:rPr>
        <w:t xml:space="preserve"> y </w:t>
      </w:r>
      <w:r w:rsidR="00BC7CDF" w:rsidRPr="007F03BF">
        <w:rPr>
          <w:rFonts w:ascii="Arial" w:hAnsi="Arial" w:cs="Arial"/>
        </w:rPr>
        <w:t>100</w:t>
      </w:r>
      <w:r w:rsidRPr="007F03BF">
        <w:rPr>
          <w:rFonts w:ascii="Arial" w:hAnsi="Arial" w:cs="Arial"/>
        </w:rPr>
        <w:t xml:space="preserve">%, respectivamente. </w:t>
      </w:r>
    </w:p>
    <w:p w14:paraId="6BB51DC4" w14:textId="77777777" w:rsidR="00071E52" w:rsidRPr="007F03BF" w:rsidRDefault="00071E52" w:rsidP="00071E52">
      <w:pPr>
        <w:spacing w:before="100" w:beforeAutospacing="1" w:after="100" w:afterAutospacing="1" w:line="360" w:lineRule="auto"/>
        <w:contextualSpacing/>
        <w:jc w:val="both"/>
        <w:rPr>
          <w:rFonts w:ascii="Arial" w:hAnsi="Arial" w:cs="Arial"/>
        </w:rPr>
      </w:pPr>
    </w:p>
    <w:p w14:paraId="1E43E21D" w14:textId="77777777" w:rsidR="00071E52" w:rsidRPr="007F03BF" w:rsidRDefault="00071E52" w:rsidP="00071E52">
      <w:pPr>
        <w:spacing w:before="100" w:beforeAutospacing="1" w:after="100" w:afterAutospacing="1" w:line="360" w:lineRule="auto"/>
        <w:contextualSpacing/>
        <w:jc w:val="both"/>
        <w:rPr>
          <w:rFonts w:ascii="Arial" w:hAnsi="Arial" w:cs="Arial"/>
        </w:rPr>
      </w:pPr>
      <w:r w:rsidRPr="007F03BF">
        <w:rPr>
          <w:rFonts w:ascii="Arial" w:hAnsi="Arial" w:cs="Arial"/>
        </w:rPr>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B2542B" w:rsidRPr="007F03BF" w14:paraId="64AC4062" w14:textId="77777777" w:rsidTr="008C4FD7">
        <w:tc>
          <w:tcPr>
            <w:tcW w:w="3659" w:type="dxa"/>
            <w:shd w:val="clear" w:color="auto" w:fill="70AD47" w:themeFill="accent6"/>
            <w:vAlign w:val="center"/>
          </w:tcPr>
          <w:p w14:paraId="2D463A65" w14:textId="77777777"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Artículo</w:t>
            </w:r>
          </w:p>
        </w:tc>
        <w:tc>
          <w:tcPr>
            <w:tcW w:w="2148" w:type="dxa"/>
            <w:shd w:val="clear" w:color="auto" w:fill="70AD47" w:themeFill="accent6"/>
            <w:vAlign w:val="center"/>
          </w:tcPr>
          <w:p w14:paraId="7A3AEF95" w14:textId="0F54A053"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ICP – 2ª Evaluación 20</w:t>
            </w:r>
            <w:r w:rsidR="00D47F3C" w:rsidRPr="007F03BF">
              <w:rPr>
                <w:rFonts w:ascii="Arial" w:hAnsi="Arial" w:cs="Arial"/>
                <w:b/>
                <w:bCs/>
                <w:color w:val="000000" w:themeColor="text1"/>
                <w:sz w:val="20"/>
                <w:szCs w:val="20"/>
              </w:rPr>
              <w:t>19</w:t>
            </w:r>
          </w:p>
        </w:tc>
        <w:tc>
          <w:tcPr>
            <w:tcW w:w="2092" w:type="dxa"/>
            <w:shd w:val="clear" w:color="auto" w:fill="70AD47" w:themeFill="accent6"/>
            <w:vAlign w:val="center"/>
          </w:tcPr>
          <w:p w14:paraId="42061E7D" w14:textId="6D38A51E"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ICP – 1ª Evaluación 20</w:t>
            </w:r>
            <w:r w:rsidR="00D47F3C" w:rsidRPr="007F03BF">
              <w:rPr>
                <w:rFonts w:ascii="Arial" w:hAnsi="Arial" w:cs="Arial"/>
                <w:b/>
                <w:bCs/>
                <w:color w:val="000000" w:themeColor="text1"/>
                <w:sz w:val="20"/>
                <w:szCs w:val="20"/>
              </w:rPr>
              <w:t>20</w:t>
            </w:r>
          </w:p>
        </w:tc>
        <w:tc>
          <w:tcPr>
            <w:tcW w:w="920" w:type="dxa"/>
            <w:gridSpan w:val="2"/>
            <w:shd w:val="clear" w:color="auto" w:fill="70AD47" w:themeFill="accent6"/>
            <w:vAlign w:val="center"/>
          </w:tcPr>
          <w:p w14:paraId="7FCC88E2" w14:textId="77777777"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3E6885" w:rsidRPr="007F03BF" w14:paraId="53EFAD9B" w14:textId="77777777" w:rsidTr="003E6885">
        <w:tc>
          <w:tcPr>
            <w:tcW w:w="3659" w:type="dxa"/>
          </w:tcPr>
          <w:p w14:paraId="3F2EDA3A" w14:textId="77777777" w:rsidR="003E6885" w:rsidRPr="007F03BF" w:rsidRDefault="003E6885" w:rsidP="003E6885">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121 – Obligaciones Comunes</w:t>
            </w:r>
          </w:p>
        </w:tc>
        <w:tc>
          <w:tcPr>
            <w:tcW w:w="2148" w:type="dxa"/>
            <w:vAlign w:val="center"/>
          </w:tcPr>
          <w:p w14:paraId="0376A8C2" w14:textId="77777777" w:rsidR="003E6885" w:rsidRPr="007F03BF" w:rsidRDefault="003E6885" w:rsidP="003E6885">
            <w:pPr>
              <w:jc w:val="center"/>
              <w:rPr>
                <w:rFonts w:ascii="Calibri" w:hAnsi="Calibri"/>
                <w:color w:val="000000"/>
              </w:rPr>
            </w:pPr>
            <w:r w:rsidRPr="007F03BF">
              <w:rPr>
                <w:rFonts w:ascii="Calibri" w:hAnsi="Calibri"/>
                <w:color w:val="000000"/>
              </w:rPr>
              <w:t>94.35</w:t>
            </w:r>
          </w:p>
        </w:tc>
        <w:tc>
          <w:tcPr>
            <w:tcW w:w="2104" w:type="dxa"/>
            <w:gridSpan w:val="2"/>
            <w:vAlign w:val="center"/>
          </w:tcPr>
          <w:p w14:paraId="7A34CB1A" w14:textId="77777777" w:rsidR="003E6885" w:rsidRPr="007F03BF" w:rsidRDefault="003E6885" w:rsidP="003E6885">
            <w:pPr>
              <w:jc w:val="center"/>
              <w:rPr>
                <w:rFonts w:ascii="Calibri" w:hAnsi="Calibri"/>
                <w:color w:val="000000"/>
              </w:rPr>
            </w:pPr>
            <w:r w:rsidRPr="007F03BF">
              <w:rPr>
                <w:rFonts w:ascii="Calibri" w:hAnsi="Calibri"/>
                <w:color w:val="000000"/>
              </w:rPr>
              <w:t>99.25</w:t>
            </w:r>
          </w:p>
        </w:tc>
        <w:tc>
          <w:tcPr>
            <w:tcW w:w="908" w:type="dxa"/>
            <w:vAlign w:val="center"/>
          </w:tcPr>
          <w:p w14:paraId="5660A03A" w14:textId="77777777" w:rsidR="003E6885" w:rsidRPr="007F03BF" w:rsidRDefault="003E6885" w:rsidP="003E6885">
            <w:pPr>
              <w:jc w:val="center"/>
              <w:rPr>
                <w:rFonts w:ascii="Calibri" w:hAnsi="Calibri"/>
                <w:color w:val="000000"/>
              </w:rPr>
            </w:pPr>
            <w:r w:rsidRPr="007F03BF">
              <w:rPr>
                <w:rFonts w:ascii="Calibri" w:hAnsi="Calibri"/>
                <w:color w:val="000000"/>
              </w:rPr>
              <w:t>4.90</w:t>
            </w:r>
          </w:p>
        </w:tc>
      </w:tr>
      <w:tr w:rsidR="003E6885" w:rsidRPr="007F03BF" w14:paraId="157FB36C" w14:textId="77777777" w:rsidTr="003E6885">
        <w:tc>
          <w:tcPr>
            <w:tcW w:w="3659" w:type="dxa"/>
          </w:tcPr>
          <w:p w14:paraId="2CE3F9AA" w14:textId="77777777" w:rsidR="003E6885" w:rsidRPr="007F03BF" w:rsidRDefault="003E6885" w:rsidP="003E6885">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125 – Obligaciones Específicas del Congreso de la Ciudad de México</w:t>
            </w:r>
          </w:p>
        </w:tc>
        <w:tc>
          <w:tcPr>
            <w:tcW w:w="2148" w:type="dxa"/>
            <w:vAlign w:val="center"/>
          </w:tcPr>
          <w:p w14:paraId="40EDA6E1" w14:textId="77777777" w:rsidR="003E6885" w:rsidRPr="007F03BF" w:rsidRDefault="003E6885" w:rsidP="003E6885">
            <w:pPr>
              <w:jc w:val="center"/>
              <w:rPr>
                <w:rFonts w:ascii="Calibri" w:hAnsi="Calibri"/>
                <w:color w:val="000000"/>
              </w:rPr>
            </w:pPr>
            <w:r w:rsidRPr="007F03BF">
              <w:rPr>
                <w:rFonts w:ascii="Calibri" w:hAnsi="Calibri"/>
                <w:color w:val="000000"/>
              </w:rPr>
              <w:t>93.50</w:t>
            </w:r>
          </w:p>
        </w:tc>
        <w:tc>
          <w:tcPr>
            <w:tcW w:w="2104" w:type="dxa"/>
            <w:gridSpan w:val="2"/>
            <w:vAlign w:val="center"/>
          </w:tcPr>
          <w:p w14:paraId="7827E173" w14:textId="77777777" w:rsidR="003E6885" w:rsidRPr="007F03BF" w:rsidRDefault="003E6885" w:rsidP="003E6885">
            <w:pPr>
              <w:jc w:val="center"/>
              <w:rPr>
                <w:rFonts w:ascii="Calibri" w:hAnsi="Calibri"/>
                <w:color w:val="000000"/>
              </w:rPr>
            </w:pPr>
            <w:r w:rsidRPr="007F03BF">
              <w:rPr>
                <w:rFonts w:ascii="Calibri" w:hAnsi="Calibri"/>
                <w:color w:val="000000"/>
              </w:rPr>
              <w:t>98.13</w:t>
            </w:r>
          </w:p>
        </w:tc>
        <w:tc>
          <w:tcPr>
            <w:tcW w:w="908" w:type="dxa"/>
            <w:vAlign w:val="center"/>
          </w:tcPr>
          <w:p w14:paraId="2D00DF35" w14:textId="77777777" w:rsidR="003E6885" w:rsidRPr="007F03BF" w:rsidRDefault="003E6885" w:rsidP="003E6885">
            <w:pPr>
              <w:jc w:val="center"/>
              <w:rPr>
                <w:rFonts w:ascii="Calibri" w:hAnsi="Calibri"/>
                <w:color w:val="000000"/>
              </w:rPr>
            </w:pPr>
            <w:r w:rsidRPr="007F03BF">
              <w:rPr>
                <w:rFonts w:ascii="Calibri" w:hAnsi="Calibri"/>
                <w:color w:val="000000"/>
              </w:rPr>
              <w:t>4.63</w:t>
            </w:r>
          </w:p>
        </w:tc>
      </w:tr>
      <w:tr w:rsidR="003E6885" w:rsidRPr="007F03BF" w14:paraId="1E225689" w14:textId="77777777" w:rsidTr="003E6885">
        <w:tc>
          <w:tcPr>
            <w:tcW w:w="3659" w:type="dxa"/>
          </w:tcPr>
          <w:p w14:paraId="5F12EE6E" w14:textId="77777777" w:rsidR="003E6885" w:rsidRPr="007F03BF" w:rsidRDefault="003E6885" w:rsidP="003E6885">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145 – Portal de Transparencia</w:t>
            </w:r>
          </w:p>
        </w:tc>
        <w:tc>
          <w:tcPr>
            <w:tcW w:w="2148" w:type="dxa"/>
            <w:vAlign w:val="center"/>
          </w:tcPr>
          <w:p w14:paraId="7451D4A3" w14:textId="77777777" w:rsidR="003E6885" w:rsidRPr="007F03BF" w:rsidRDefault="003E6885" w:rsidP="003E6885">
            <w:pPr>
              <w:jc w:val="center"/>
              <w:rPr>
                <w:rFonts w:ascii="Calibri" w:hAnsi="Calibri"/>
                <w:color w:val="000000"/>
              </w:rPr>
            </w:pPr>
            <w:r w:rsidRPr="007F03BF">
              <w:rPr>
                <w:rFonts w:ascii="Calibri" w:hAnsi="Calibri"/>
                <w:color w:val="000000"/>
              </w:rPr>
              <w:t>100.00</w:t>
            </w:r>
          </w:p>
        </w:tc>
        <w:tc>
          <w:tcPr>
            <w:tcW w:w="2104" w:type="dxa"/>
            <w:gridSpan w:val="2"/>
            <w:vAlign w:val="center"/>
          </w:tcPr>
          <w:p w14:paraId="025779E3" w14:textId="77777777" w:rsidR="003E6885" w:rsidRPr="007F03BF" w:rsidRDefault="003E6885" w:rsidP="003E6885">
            <w:pPr>
              <w:jc w:val="center"/>
              <w:rPr>
                <w:rFonts w:ascii="Calibri" w:hAnsi="Calibri"/>
                <w:color w:val="000000"/>
              </w:rPr>
            </w:pPr>
            <w:r w:rsidRPr="007F03BF">
              <w:rPr>
                <w:rFonts w:ascii="Calibri" w:hAnsi="Calibri"/>
                <w:color w:val="000000"/>
              </w:rPr>
              <w:t>100.00</w:t>
            </w:r>
          </w:p>
        </w:tc>
        <w:tc>
          <w:tcPr>
            <w:tcW w:w="908" w:type="dxa"/>
            <w:vAlign w:val="center"/>
          </w:tcPr>
          <w:p w14:paraId="70EBB8ED" w14:textId="77777777" w:rsidR="003E6885" w:rsidRPr="007F03BF" w:rsidRDefault="003B3986" w:rsidP="003E6885">
            <w:pPr>
              <w:jc w:val="center"/>
              <w:rPr>
                <w:rFonts w:ascii="Calibri" w:hAnsi="Calibri"/>
                <w:color w:val="000000"/>
              </w:rPr>
            </w:pPr>
            <w:r w:rsidRPr="007F03BF">
              <w:rPr>
                <w:rFonts w:ascii="Calibri" w:hAnsi="Calibri"/>
                <w:color w:val="000000"/>
              </w:rPr>
              <w:t>-</w:t>
            </w:r>
          </w:p>
        </w:tc>
      </w:tr>
      <w:tr w:rsidR="003E6885" w:rsidRPr="007F03BF" w14:paraId="7B0AF224" w14:textId="77777777" w:rsidTr="003E6885">
        <w:tc>
          <w:tcPr>
            <w:tcW w:w="3659" w:type="dxa"/>
          </w:tcPr>
          <w:p w14:paraId="265E88AF" w14:textId="77777777" w:rsidR="003E6885" w:rsidRPr="007F03BF" w:rsidRDefault="003E6885" w:rsidP="003E6885">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146 – Calendario de actualización</w:t>
            </w:r>
          </w:p>
        </w:tc>
        <w:tc>
          <w:tcPr>
            <w:tcW w:w="2148" w:type="dxa"/>
            <w:vAlign w:val="center"/>
          </w:tcPr>
          <w:p w14:paraId="13AE5CEC" w14:textId="77777777" w:rsidR="003E6885" w:rsidRPr="007F03BF" w:rsidRDefault="003E6885" w:rsidP="003E6885">
            <w:pPr>
              <w:jc w:val="center"/>
              <w:rPr>
                <w:rFonts w:ascii="Calibri" w:hAnsi="Calibri"/>
                <w:color w:val="000000"/>
              </w:rPr>
            </w:pPr>
            <w:r w:rsidRPr="007F03BF">
              <w:rPr>
                <w:rFonts w:ascii="Calibri" w:hAnsi="Calibri"/>
                <w:color w:val="000000"/>
              </w:rPr>
              <w:t>100.00</w:t>
            </w:r>
          </w:p>
        </w:tc>
        <w:tc>
          <w:tcPr>
            <w:tcW w:w="2104" w:type="dxa"/>
            <w:gridSpan w:val="2"/>
            <w:vAlign w:val="center"/>
          </w:tcPr>
          <w:p w14:paraId="232F77D1" w14:textId="77777777" w:rsidR="003E6885" w:rsidRPr="007F03BF" w:rsidRDefault="003E6885" w:rsidP="003E6885">
            <w:pPr>
              <w:jc w:val="center"/>
              <w:rPr>
                <w:rFonts w:ascii="Calibri" w:hAnsi="Calibri"/>
                <w:color w:val="000000"/>
              </w:rPr>
            </w:pPr>
            <w:r w:rsidRPr="007F03BF">
              <w:rPr>
                <w:rFonts w:ascii="Calibri" w:hAnsi="Calibri"/>
                <w:color w:val="000000"/>
              </w:rPr>
              <w:t>100.00</w:t>
            </w:r>
          </w:p>
        </w:tc>
        <w:tc>
          <w:tcPr>
            <w:tcW w:w="908" w:type="dxa"/>
            <w:vAlign w:val="center"/>
          </w:tcPr>
          <w:p w14:paraId="6F145B99" w14:textId="77777777" w:rsidR="003E6885" w:rsidRPr="007F03BF" w:rsidRDefault="003B3986" w:rsidP="003E6885">
            <w:pPr>
              <w:jc w:val="center"/>
              <w:rPr>
                <w:rFonts w:ascii="Calibri" w:hAnsi="Calibri"/>
                <w:color w:val="000000"/>
              </w:rPr>
            </w:pPr>
            <w:r w:rsidRPr="007F03BF">
              <w:rPr>
                <w:rFonts w:ascii="Calibri" w:hAnsi="Calibri"/>
                <w:color w:val="000000"/>
              </w:rPr>
              <w:t>-</w:t>
            </w:r>
          </w:p>
        </w:tc>
      </w:tr>
      <w:tr w:rsidR="003E6885" w:rsidRPr="007F03BF" w14:paraId="01440BD7" w14:textId="77777777" w:rsidTr="003E6885">
        <w:tc>
          <w:tcPr>
            <w:tcW w:w="3659" w:type="dxa"/>
          </w:tcPr>
          <w:p w14:paraId="6DF84F21" w14:textId="77777777" w:rsidR="003E6885" w:rsidRPr="007F03BF" w:rsidRDefault="003E6885" w:rsidP="003E6885">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 xml:space="preserve">147 – Informes respecto de recursos otorgados por el sujeto obligado a terceros </w:t>
            </w:r>
          </w:p>
        </w:tc>
        <w:tc>
          <w:tcPr>
            <w:tcW w:w="2148" w:type="dxa"/>
            <w:vAlign w:val="center"/>
          </w:tcPr>
          <w:p w14:paraId="6A008F29" w14:textId="77777777" w:rsidR="003E6885" w:rsidRPr="007F03BF" w:rsidRDefault="003E6885" w:rsidP="003E6885">
            <w:pPr>
              <w:jc w:val="center"/>
              <w:rPr>
                <w:rFonts w:ascii="Calibri" w:hAnsi="Calibri"/>
                <w:color w:val="000000"/>
              </w:rPr>
            </w:pPr>
            <w:r w:rsidRPr="007F03BF">
              <w:rPr>
                <w:rFonts w:ascii="Calibri" w:hAnsi="Calibri"/>
                <w:color w:val="000000"/>
              </w:rPr>
              <w:t>94.28</w:t>
            </w:r>
          </w:p>
        </w:tc>
        <w:tc>
          <w:tcPr>
            <w:tcW w:w="2104" w:type="dxa"/>
            <w:gridSpan w:val="2"/>
            <w:vAlign w:val="center"/>
          </w:tcPr>
          <w:p w14:paraId="32810092" w14:textId="77777777" w:rsidR="003E6885" w:rsidRPr="007F03BF" w:rsidRDefault="003E6885" w:rsidP="003E6885">
            <w:pPr>
              <w:jc w:val="center"/>
              <w:rPr>
                <w:rFonts w:ascii="Calibri" w:hAnsi="Calibri"/>
                <w:color w:val="000000"/>
              </w:rPr>
            </w:pPr>
            <w:r w:rsidRPr="007F03BF">
              <w:rPr>
                <w:rFonts w:ascii="Calibri" w:hAnsi="Calibri"/>
                <w:color w:val="000000"/>
              </w:rPr>
              <w:t>100.00</w:t>
            </w:r>
          </w:p>
        </w:tc>
        <w:tc>
          <w:tcPr>
            <w:tcW w:w="908" w:type="dxa"/>
            <w:vAlign w:val="center"/>
          </w:tcPr>
          <w:p w14:paraId="19FFB15D" w14:textId="77777777" w:rsidR="003E6885" w:rsidRPr="007F03BF" w:rsidRDefault="003E6885" w:rsidP="003E6885">
            <w:pPr>
              <w:jc w:val="center"/>
              <w:rPr>
                <w:rFonts w:ascii="Calibri" w:hAnsi="Calibri"/>
                <w:color w:val="000000"/>
              </w:rPr>
            </w:pPr>
            <w:r w:rsidRPr="007F03BF">
              <w:rPr>
                <w:rFonts w:ascii="Calibri" w:hAnsi="Calibri"/>
                <w:color w:val="000000"/>
              </w:rPr>
              <w:t>5.72</w:t>
            </w:r>
          </w:p>
        </w:tc>
      </w:tr>
    </w:tbl>
    <w:p w14:paraId="2A86DC6C" w14:textId="77777777" w:rsidR="00071E52" w:rsidRPr="007F03BF" w:rsidRDefault="00071E52" w:rsidP="00071E52">
      <w:pPr>
        <w:spacing w:before="100" w:beforeAutospacing="1" w:after="100" w:afterAutospacing="1" w:line="360" w:lineRule="auto"/>
        <w:contextualSpacing/>
        <w:jc w:val="both"/>
        <w:rPr>
          <w:rFonts w:ascii="Arial" w:hAnsi="Arial" w:cs="Arial"/>
        </w:rPr>
      </w:pPr>
    </w:p>
    <w:p w14:paraId="12C2E03F" w14:textId="22EA64BF" w:rsidR="00071E52" w:rsidRPr="007F03BF" w:rsidRDefault="00071E52" w:rsidP="00071E52">
      <w:pPr>
        <w:spacing w:before="100" w:beforeAutospacing="1" w:after="100" w:afterAutospacing="1" w:line="360" w:lineRule="auto"/>
        <w:contextualSpacing/>
        <w:jc w:val="both"/>
        <w:rPr>
          <w:rFonts w:ascii="Arial" w:hAnsi="Arial" w:cs="Arial"/>
        </w:rPr>
      </w:pPr>
      <w:r w:rsidRPr="007F03BF">
        <w:rPr>
          <w:rFonts w:ascii="Arial" w:hAnsi="Arial" w:cs="Arial"/>
        </w:rPr>
        <w:t xml:space="preserve">Del comparativo anteriormente plasmado, </w:t>
      </w:r>
      <w:r w:rsidR="00E55AB5" w:rsidRPr="007F03BF">
        <w:rPr>
          <w:rFonts w:ascii="Arial" w:hAnsi="Arial" w:cs="Arial"/>
        </w:rPr>
        <w:t xml:space="preserve">se puede apreciar que este ámbito tuvo un incremento sustantivo en sus índices por artículo. En lo que respecta a las obligaciones comunes, pasó </w:t>
      </w:r>
      <w:r w:rsidR="003E6885" w:rsidRPr="007F03BF">
        <w:rPr>
          <w:rFonts w:ascii="Arial" w:hAnsi="Arial" w:cs="Arial"/>
        </w:rPr>
        <w:t>de 94.35% a 99.25%</w:t>
      </w:r>
      <w:r w:rsidR="00E55AB5" w:rsidRPr="007F03BF">
        <w:rPr>
          <w:rFonts w:ascii="Arial" w:hAnsi="Arial" w:cs="Arial"/>
        </w:rPr>
        <w:t xml:space="preserve">. Sobre las obligaciones específicas, el Congreso </w:t>
      </w:r>
      <w:r w:rsidR="003E6885" w:rsidRPr="007F03BF">
        <w:rPr>
          <w:rFonts w:ascii="Arial" w:hAnsi="Arial" w:cs="Arial"/>
        </w:rPr>
        <w:t>pasó de 93.50% a 98.13%</w:t>
      </w:r>
      <w:r w:rsidR="00E55AB5" w:rsidRPr="007F03BF">
        <w:rPr>
          <w:rFonts w:ascii="Arial" w:hAnsi="Arial" w:cs="Arial"/>
        </w:rPr>
        <w:t xml:space="preserve">. </w:t>
      </w:r>
      <w:r w:rsidR="003E6885" w:rsidRPr="007F03BF">
        <w:rPr>
          <w:rFonts w:ascii="Arial" w:hAnsi="Arial" w:cs="Arial"/>
        </w:rPr>
        <w:t>Por último, en l</w:t>
      </w:r>
      <w:r w:rsidR="00E846CB" w:rsidRPr="007F03BF">
        <w:rPr>
          <w:rFonts w:ascii="Arial" w:hAnsi="Arial" w:cs="Arial"/>
        </w:rPr>
        <w:t xml:space="preserve">o </w:t>
      </w:r>
      <w:r w:rsidR="003E6885" w:rsidRPr="007F03BF">
        <w:rPr>
          <w:rFonts w:ascii="Arial" w:hAnsi="Arial" w:cs="Arial"/>
        </w:rPr>
        <w:t>que se refiere a las disposiciones particulares, los artículos 145 y 146</w:t>
      </w:r>
      <w:r w:rsidR="00E846CB" w:rsidRPr="007F03BF">
        <w:rPr>
          <w:rFonts w:ascii="Arial" w:hAnsi="Arial" w:cs="Arial"/>
        </w:rPr>
        <w:t xml:space="preserve">, </w:t>
      </w:r>
      <w:r w:rsidR="003E6885" w:rsidRPr="007F03BF">
        <w:rPr>
          <w:rFonts w:ascii="Arial" w:hAnsi="Arial" w:cs="Arial"/>
        </w:rPr>
        <w:t>se mantiene con un cumplimiento total y el artículo 147 pasó de un incumplimiento parcial de 94.28% a un cumplimiento total</w:t>
      </w:r>
      <w:r w:rsidR="00632D2C" w:rsidRPr="007F03BF">
        <w:rPr>
          <w:rFonts w:ascii="Arial" w:hAnsi="Arial" w:cs="Arial"/>
        </w:rPr>
        <w:t xml:space="preserve">. </w:t>
      </w:r>
      <w:r w:rsidRPr="007F03BF">
        <w:rPr>
          <w:rFonts w:ascii="Arial" w:hAnsi="Arial" w:cs="Arial"/>
        </w:rPr>
        <w:t xml:space="preserve">El </w:t>
      </w:r>
      <w:r w:rsidR="00632D2C" w:rsidRPr="007F03BF">
        <w:rPr>
          <w:rFonts w:ascii="Arial" w:hAnsi="Arial" w:cs="Arial"/>
        </w:rPr>
        <w:t>Poder Legislativo</w:t>
      </w:r>
      <w:r w:rsidRPr="007F03BF">
        <w:rPr>
          <w:rFonts w:ascii="Arial" w:hAnsi="Arial" w:cs="Arial"/>
        </w:rPr>
        <w:t xml:space="preserve"> obtuvo un incremento promedio en su índice por artículo de </w:t>
      </w:r>
      <w:r w:rsidR="00632D2C" w:rsidRPr="007F03BF">
        <w:rPr>
          <w:rFonts w:ascii="Arial" w:hAnsi="Arial" w:cs="Arial"/>
        </w:rPr>
        <w:t>3</w:t>
      </w:r>
      <w:r w:rsidR="003E6885" w:rsidRPr="007F03BF">
        <w:rPr>
          <w:rFonts w:ascii="Arial" w:hAnsi="Arial" w:cs="Arial"/>
        </w:rPr>
        <w:t>.5</w:t>
      </w:r>
      <w:r w:rsidRPr="007F03BF">
        <w:rPr>
          <w:rFonts w:ascii="Arial" w:hAnsi="Arial" w:cs="Arial"/>
        </w:rPr>
        <w:t>%.</w:t>
      </w:r>
    </w:p>
    <w:p w14:paraId="59219B07" w14:textId="77777777" w:rsidR="00071E52" w:rsidRPr="007F03BF" w:rsidRDefault="00071E52" w:rsidP="00071E52">
      <w:pPr>
        <w:spacing w:before="100" w:beforeAutospacing="1" w:after="100" w:afterAutospacing="1" w:line="360" w:lineRule="auto"/>
        <w:contextualSpacing/>
        <w:jc w:val="both"/>
        <w:rPr>
          <w:rFonts w:ascii="Arial" w:hAnsi="Arial" w:cs="Arial"/>
        </w:rPr>
      </w:pPr>
    </w:p>
    <w:p w14:paraId="79453E55" w14:textId="77777777" w:rsidR="00071E52" w:rsidRPr="007F03BF" w:rsidRDefault="00071E52" w:rsidP="00071E52">
      <w:pPr>
        <w:spacing w:before="100" w:beforeAutospacing="1" w:after="100" w:afterAutospacing="1" w:line="360" w:lineRule="auto"/>
        <w:contextualSpacing/>
        <w:jc w:val="both"/>
        <w:rPr>
          <w:rFonts w:ascii="Arial" w:hAnsi="Arial" w:cs="Arial"/>
          <w:b/>
          <w:bCs/>
        </w:rPr>
      </w:pPr>
      <w:r w:rsidRPr="007F03BF">
        <w:rPr>
          <w:rFonts w:ascii="Arial" w:hAnsi="Arial" w:cs="Arial"/>
          <w:b/>
          <w:bCs/>
        </w:rPr>
        <w:t xml:space="preserve">Comparativo de índices entre la </w:t>
      </w:r>
      <w:r w:rsidR="003E6885" w:rsidRPr="007F03BF">
        <w:rPr>
          <w:rFonts w:ascii="Arial" w:hAnsi="Arial" w:cs="Arial"/>
          <w:b/>
          <w:bCs/>
        </w:rPr>
        <w:t>Segunda</w:t>
      </w:r>
      <w:r w:rsidRPr="007F03BF">
        <w:rPr>
          <w:rFonts w:ascii="Arial" w:hAnsi="Arial" w:cs="Arial"/>
          <w:b/>
          <w:bCs/>
        </w:rPr>
        <w:t xml:space="preserve"> Evaluación Vinculante 2019 y la </w:t>
      </w:r>
      <w:r w:rsidR="003E6885" w:rsidRPr="007F03BF">
        <w:rPr>
          <w:rFonts w:ascii="Arial" w:hAnsi="Arial" w:cs="Arial"/>
          <w:b/>
          <w:bCs/>
        </w:rPr>
        <w:t xml:space="preserve">Primera </w:t>
      </w:r>
      <w:r w:rsidRPr="007F03BF">
        <w:rPr>
          <w:rFonts w:ascii="Arial" w:hAnsi="Arial" w:cs="Arial"/>
          <w:b/>
          <w:bCs/>
        </w:rPr>
        <w:t>Evaluación Vinculante 20</w:t>
      </w:r>
      <w:r w:rsidR="003E6885" w:rsidRPr="007F03BF">
        <w:rPr>
          <w:rFonts w:ascii="Arial" w:hAnsi="Arial" w:cs="Arial"/>
          <w:b/>
          <w:bCs/>
        </w:rPr>
        <w:t>20</w:t>
      </w:r>
    </w:p>
    <w:tbl>
      <w:tblPr>
        <w:tblW w:w="9067" w:type="dxa"/>
        <w:tblLayout w:type="fixed"/>
        <w:tblCellMar>
          <w:left w:w="70" w:type="dxa"/>
          <w:right w:w="70" w:type="dxa"/>
        </w:tblCellMar>
        <w:tblLook w:val="04A0" w:firstRow="1" w:lastRow="0" w:firstColumn="1" w:lastColumn="0" w:noHBand="0" w:noVBand="1"/>
      </w:tblPr>
      <w:tblGrid>
        <w:gridCol w:w="463"/>
        <w:gridCol w:w="3927"/>
        <w:gridCol w:w="1984"/>
        <w:gridCol w:w="1703"/>
        <w:gridCol w:w="990"/>
      </w:tblGrid>
      <w:tr w:rsidR="00071E52" w:rsidRPr="007F03BF" w14:paraId="5D92AEB0" w14:textId="77777777" w:rsidTr="008C4FD7">
        <w:trPr>
          <w:trHeight w:val="86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707542DB" w14:textId="77777777" w:rsidR="00071E52" w:rsidRPr="007F03BF" w:rsidRDefault="00071E52" w:rsidP="00071E52">
            <w:pPr>
              <w:jc w:val="center"/>
              <w:rPr>
                <w:rFonts w:ascii="Arial" w:hAnsi="Arial" w:cs="Arial"/>
                <w:b/>
                <w:bCs/>
                <w:color w:val="000000"/>
                <w:sz w:val="20"/>
                <w:szCs w:val="20"/>
              </w:rPr>
            </w:pPr>
            <w:r w:rsidRPr="007F03BF">
              <w:rPr>
                <w:rFonts w:ascii="Arial" w:hAnsi="Arial" w:cs="Arial"/>
                <w:b/>
                <w:bCs/>
                <w:color w:val="000000"/>
                <w:sz w:val="20"/>
                <w:szCs w:val="20"/>
              </w:rPr>
              <w:lastRenderedPageBreak/>
              <w:t xml:space="preserve">Resultados de la </w:t>
            </w:r>
            <w:r w:rsidR="003E6885" w:rsidRPr="007F03BF">
              <w:rPr>
                <w:rFonts w:ascii="Arial" w:hAnsi="Arial" w:cs="Arial"/>
                <w:b/>
                <w:bCs/>
                <w:color w:val="000000"/>
                <w:sz w:val="20"/>
                <w:szCs w:val="20"/>
              </w:rPr>
              <w:t>Prim</w:t>
            </w:r>
            <w:r w:rsidR="00B05CE7" w:rsidRPr="007F03BF">
              <w:rPr>
                <w:rFonts w:ascii="Arial" w:hAnsi="Arial" w:cs="Arial"/>
                <w:b/>
                <w:bCs/>
                <w:color w:val="000000"/>
                <w:sz w:val="20"/>
                <w:szCs w:val="20"/>
              </w:rPr>
              <w:t>er</w:t>
            </w:r>
            <w:r w:rsidR="003E6885" w:rsidRPr="007F03BF">
              <w:rPr>
                <w:rFonts w:ascii="Arial" w:hAnsi="Arial" w:cs="Arial"/>
                <w:b/>
                <w:bCs/>
                <w:color w:val="000000"/>
                <w:sz w:val="20"/>
                <w:szCs w:val="20"/>
              </w:rPr>
              <w:t>a</w:t>
            </w:r>
            <w:r w:rsidRPr="007F03BF">
              <w:rPr>
                <w:rFonts w:ascii="Arial" w:hAnsi="Arial" w:cs="Arial"/>
                <w:b/>
                <w:bCs/>
                <w:color w:val="000000"/>
                <w:sz w:val="20"/>
                <w:szCs w:val="20"/>
              </w:rPr>
              <w:t xml:space="preserve"> Evaluación Vinculante 20</w:t>
            </w:r>
            <w:r w:rsidR="003E6885" w:rsidRPr="007F03BF">
              <w:rPr>
                <w:rFonts w:ascii="Arial" w:hAnsi="Arial" w:cs="Arial"/>
                <w:b/>
                <w:bCs/>
                <w:color w:val="000000"/>
                <w:sz w:val="20"/>
                <w:szCs w:val="20"/>
              </w:rPr>
              <w:t>20</w:t>
            </w:r>
            <w:r w:rsidRPr="007F03BF">
              <w:rPr>
                <w:rFonts w:ascii="Arial" w:hAnsi="Arial" w:cs="Arial"/>
                <w:b/>
                <w:bCs/>
                <w:color w:val="000000"/>
                <w:sz w:val="20"/>
                <w:szCs w:val="20"/>
              </w:rPr>
              <w:t xml:space="preserve">, respecto de las recomendaciones y observaciones de la </w:t>
            </w:r>
            <w:r w:rsidR="003E6885" w:rsidRPr="007F03BF">
              <w:rPr>
                <w:rFonts w:ascii="Arial" w:hAnsi="Arial" w:cs="Arial"/>
                <w:b/>
                <w:bCs/>
                <w:color w:val="000000"/>
                <w:sz w:val="20"/>
                <w:szCs w:val="20"/>
              </w:rPr>
              <w:t xml:space="preserve">Segunda </w:t>
            </w:r>
            <w:r w:rsidRPr="007F03BF">
              <w:rPr>
                <w:rFonts w:ascii="Arial" w:hAnsi="Arial" w:cs="Arial"/>
                <w:b/>
                <w:bCs/>
                <w:color w:val="000000"/>
                <w:sz w:val="20"/>
                <w:szCs w:val="20"/>
              </w:rPr>
              <w:t>Evaluación Vinculante 2019</w:t>
            </w:r>
          </w:p>
        </w:tc>
      </w:tr>
      <w:tr w:rsidR="003E6885" w:rsidRPr="007F03BF" w14:paraId="11F96545" w14:textId="77777777" w:rsidTr="008C4FD7">
        <w:trPr>
          <w:trHeight w:val="340"/>
          <w:tblHeader/>
        </w:trPr>
        <w:tc>
          <w:tcPr>
            <w:tcW w:w="463" w:type="dxa"/>
            <w:tcBorders>
              <w:top w:val="nil"/>
              <w:left w:val="single" w:sz="4" w:space="0" w:color="auto"/>
              <w:bottom w:val="single" w:sz="4" w:space="0" w:color="auto"/>
              <w:right w:val="single" w:sz="4" w:space="0" w:color="auto"/>
            </w:tcBorders>
            <w:shd w:val="clear" w:color="auto" w:fill="70AD47" w:themeFill="accent6"/>
            <w:vAlign w:val="center"/>
            <w:hideMark/>
          </w:tcPr>
          <w:p w14:paraId="5F447BC3" w14:textId="77777777" w:rsidR="003E6885" w:rsidRPr="007F03BF" w:rsidRDefault="003E6885" w:rsidP="003E6885">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No.</w:t>
            </w:r>
          </w:p>
        </w:tc>
        <w:tc>
          <w:tcPr>
            <w:tcW w:w="3927" w:type="dxa"/>
            <w:tcBorders>
              <w:top w:val="nil"/>
              <w:left w:val="nil"/>
              <w:bottom w:val="single" w:sz="4" w:space="0" w:color="auto"/>
              <w:right w:val="single" w:sz="4" w:space="0" w:color="auto"/>
            </w:tcBorders>
            <w:shd w:val="clear" w:color="auto" w:fill="70AD47" w:themeFill="accent6"/>
            <w:vAlign w:val="center"/>
            <w:hideMark/>
          </w:tcPr>
          <w:p w14:paraId="614CE245" w14:textId="77777777" w:rsidR="003E6885" w:rsidRPr="007F03BF" w:rsidRDefault="003E6885" w:rsidP="003E6885">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Sujeto obligado</w:t>
            </w:r>
          </w:p>
        </w:tc>
        <w:tc>
          <w:tcPr>
            <w:tcW w:w="1984" w:type="dxa"/>
            <w:tcBorders>
              <w:top w:val="nil"/>
              <w:left w:val="nil"/>
              <w:bottom w:val="single" w:sz="4" w:space="0" w:color="auto"/>
              <w:right w:val="single" w:sz="4" w:space="0" w:color="auto"/>
            </w:tcBorders>
            <w:shd w:val="clear" w:color="auto" w:fill="70AD47" w:themeFill="accent6"/>
            <w:vAlign w:val="center"/>
            <w:hideMark/>
          </w:tcPr>
          <w:p w14:paraId="5D9169A0" w14:textId="77777777" w:rsidR="003E6885" w:rsidRPr="007F03BF" w:rsidRDefault="003E6885" w:rsidP="003E6885">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2a Evaluación Vinculante 2019</w:t>
            </w:r>
          </w:p>
        </w:tc>
        <w:tc>
          <w:tcPr>
            <w:tcW w:w="1703" w:type="dxa"/>
            <w:tcBorders>
              <w:top w:val="nil"/>
              <w:left w:val="nil"/>
              <w:bottom w:val="single" w:sz="4" w:space="0" w:color="auto"/>
              <w:right w:val="single" w:sz="4" w:space="0" w:color="auto"/>
            </w:tcBorders>
            <w:shd w:val="clear" w:color="auto" w:fill="70AD47" w:themeFill="accent6"/>
            <w:vAlign w:val="center"/>
            <w:hideMark/>
          </w:tcPr>
          <w:p w14:paraId="2E8E02EE" w14:textId="77777777" w:rsidR="003E6885" w:rsidRPr="007F03BF" w:rsidRDefault="003E6885" w:rsidP="003E6885">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1a Evaluación Vinculante 2020</w:t>
            </w:r>
          </w:p>
        </w:tc>
        <w:tc>
          <w:tcPr>
            <w:tcW w:w="990" w:type="dxa"/>
            <w:tcBorders>
              <w:top w:val="nil"/>
              <w:left w:val="nil"/>
              <w:bottom w:val="single" w:sz="4" w:space="0" w:color="auto"/>
              <w:right w:val="single" w:sz="4" w:space="0" w:color="auto"/>
            </w:tcBorders>
            <w:shd w:val="clear" w:color="auto" w:fill="70AD47" w:themeFill="accent6"/>
            <w:vAlign w:val="center"/>
            <w:hideMark/>
          </w:tcPr>
          <w:p w14:paraId="19133C34" w14:textId="77777777" w:rsidR="003E6885" w:rsidRPr="007F03BF" w:rsidRDefault="003E6885" w:rsidP="003E6885">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632D2C" w:rsidRPr="007F03BF" w14:paraId="0CCD8CC5" w14:textId="77777777" w:rsidTr="003E6885">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27AEBB65" w14:textId="77777777" w:rsidR="00632D2C" w:rsidRPr="007F03BF" w:rsidRDefault="003E6885" w:rsidP="00632D2C">
            <w:pPr>
              <w:jc w:val="center"/>
              <w:rPr>
                <w:rFonts w:ascii="Arial" w:hAnsi="Arial" w:cs="Arial"/>
                <w:color w:val="000000"/>
                <w:sz w:val="20"/>
                <w:szCs w:val="20"/>
              </w:rPr>
            </w:pPr>
            <w:r w:rsidRPr="007F03BF">
              <w:rPr>
                <w:rFonts w:ascii="Arial" w:hAnsi="Arial" w:cs="Arial"/>
                <w:color w:val="000000"/>
                <w:sz w:val="20"/>
                <w:szCs w:val="20"/>
              </w:rPr>
              <w:t>1</w:t>
            </w:r>
          </w:p>
        </w:tc>
        <w:tc>
          <w:tcPr>
            <w:tcW w:w="3927" w:type="dxa"/>
            <w:tcBorders>
              <w:top w:val="nil"/>
              <w:left w:val="nil"/>
              <w:bottom w:val="single" w:sz="4" w:space="0" w:color="auto"/>
              <w:right w:val="single" w:sz="4" w:space="0" w:color="auto"/>
            </w:tcBorders>
            <w:shd w:val="clear" w:color="auto" w:fill="auto"/>
            <w:vAlign w:val="center"/>
            <w:hideMark/>
          </w:tcPr>
          <w:p w14:paraId="7557D56C" w14:textId="77777777" w:rsidR="00632D2C" w:rsidRPr="007F03BF" w:rsidRDefault="003E6885" w:rsidP="00632D2C">
            <w:pPr>
              <w:rPr>
                <w:rFonts w:ascii="Arial" w:hAnsi="Arial" w:cs="Arial"/>
                <w:color w:val="000000"/>
                <w:sz w:val="20"/>
                <w:szCs w:val="20"/>
              </w:rPr>
            </w:pPr>
            <w:r w:rsidRPr="007F03BF">
              <w:rPr>
                <w:rFonts w:ascii="Arial" w:hAnsi="Arial" w:cs="Arial"/>
                <w:color w:val="000000"/>
                <w:sz w:val="20"/>
                <w:szCs w:val="20"/>
              </w:rPr>
              <w:t>Congreso de la Ciudad de México</w:t>
            </w:r>
          </w:p>
        </w:tc>
        <w:tc>
          <w:tcPr>
            <w:tcW w:w="1984" w:type="dxa"/>
            <w:tcBorders>
              <w:top w:val="nil"/>
              <w:left w:val="nil"/>
              <w:bottom w:val="single" w:sz="4" w:space="0" w:color="auto"/>
              <w:right w:val="single" w:sz="4" w:space="0" w:color="auto"/>
            </w:tcBorders>
            <w:shd w:val="clear" w:color="auto" w:fill="auto"/>
            <w:vAlign w:val="center"/>
            <w:hideMark/>
          </w:tcPr>
          <w:p w14:paraId="45A3983B" w14:textId="77777777" w:rsidR="00632D2C" w:rsidRPr="007F03BF" w:rsidRDefault="003E6885" w:rsidP="00632D2C">
            <w:pPr>
              <w:jc w:val="center"/>
              <w:rPr>
                <w:rFonts w:ascii="Arial" w:hAnsi="Arial" w:cs="Arial"/>
                <w:color w:val="000000"/>
                <w:sz w:val="20"/>
                <w:szCs w:val="20"/>
              </w:rPr>
            </w:pPr>
            <w:r w:rsidRPr="007F03BF">
              <w:rPr>
                <w:rFonts w:ascii="Arial" w:hAnsi="Arial" w:cs="Arial"/>
                <w:color w:val="000000"/>
                <w:sz w:val="20"/>
                <w:szCs w:val="20"/>
              </w:rPr>
              <w:t>95.03</w:t>
            </w:r>
          </w:p>
        </w:tc>
        <w:tc>
          <w:tcPr>
            <w:tcW w:w="1703" w:type="dxa"/>
            <w:tcBorders>
              <w:top w:val="nil"/>
              <w:left w:val="nil"/>
              <w:bottom w:val="single" w:sz="4" w:space="0" w:color="auto"/>
              <w:right w:val="single" w:sz="4" w:space="0" w:color="auto"/>
            </w:tcBorders>
            <w:shd w:val="clear" w:color="auto" w:fill="auto"/>
            <w:vAlign w:val="center"/>
            <w:hideMark/>
          </w:tcPr>
          <w:p w14:paraId="3013DCFC" w14:textId="77777777" w:rsidR="00632D2C" w:rsidRPr="007F03BF" w:rsidRDefault="00632D2C" w:rsidP="00632D2C">
            <w:pPr>
              <w:jc w:val="center"/>
              <w:rPr>
                <w:rFonts w:ascii="Arial" w:hAnsi="Arial" w:cs="Arial"/>
                <w:color w:val="000000"/>
                <w:sz w:val="20"/>
                <w:szCs w:val="20"/>
              </w:rPr>
            </w:pPr>
            <w:r w:rsidRPr="007F03BF">
              <w:rPr>
                <w:rFonts w:ascii="Arial" w:hAnsi="Arial" w:cs="Arial"/>
                <w:color w:val="000000"/>
                <w:sz w:val="20"/>
                <w:szCs w:val="20"/>
              </w:rPr>
              <w:t>9</w:t>
            </w:r>
            <w:r w:rsidR="003E6885" w:rsidRPr="007F03BF">
              <w:rPr>
                <w:rFonts w:ascii="Arial" w:hAnsi="Arial" w:cs="Arial"/>
                <w:color w:val="000000"/>
                <w:sz w:val="20"/>
                <w:szCs w:val="20"/>
              </w:rPr>
              <w:t>9.10</w:t>
            </w:r>
          </w:p>
        </w:tc>
        <w:tc>
          <w:tcPr>
            <w:tcW w:w="990" w:type="dxa"/>
            <w:tcBorders>
              <w:top w:val="nil"/>
              <w:left w:val="nil"/>
              <w:bottom w:val="single" w:sz="4" w:space="0" w:color="auto"/>
              <w:right w:val="single" w:sz="4" w:space="0" w:color="auto"/>
            </w:tcBorders>
            <w:shd w:val="clear" w:color="auto" w:fill="auto"/>
            <w:vAlign w:val="center"/>
            <w:hideMark/>
          </w:tcPr>
          <w:p w14:paraId="05118951" w14:textId="77777777" w:rsidR="00632D2C" w:rsidRPr="007F03BF" w:rsidRDefault="003E6885" w:rsidP="00632D2C">
            <w:pPr>
              <w:jc w:val="center"/>
              <w:rPr>
                <w:rFonts w:ascii="Arial" w:hAnsi="Arial" w:cs="Arial"/>
                <w:color w:val="000000"/>
                <w:sz w:val="20"/>
                <w:szCs w:val="20"/>
              </w:rPr>
            </w:pPr>
            <w:r w:rsidRPr="007F03BF">
              <w:rPr>
                <w:rFonts w:ascii="Arial" w:hAnsi="Arial" w:cs="Arial"/>
                <w:color w:val="000000"/>
                <w:sz w:val="20"/>
                <w:szCs w:val="20"/>
              </w:rPr>
              <w:t>4.07</w:t>
            </w:r>
          </w:p>
        </w:tc>
      </w:tr>
    </w:tbl>
    <w:p w14:paraId="449E18B7" w14:textId="77777777" w:rsidR="00071E52" w:rsidRPr="007F03BF" w:rsidRDefault="00071E52" w:rsidP="00071E52">
      <w:pPr>
        <w:spacing w:before="100" w:beforeAutospacing="1" w:after="100" w:afterAutospacing="1" w:line="360" w:lineRule="auto"/>
        <w:contextualSpacing/>
        <w:jc w:val="both"/>
        <w:rPr>
          <w:rFonts w:ascii="Arial" w:hAnsi="Arial" w:cs="Arial"/>
        </w:rPr>
      </w:pPr>
    </w:p>
    <w:p w14:paraId="0026F256" w14:textId="77777777" w:rsidR="003E6885" w:rsidRPr="007F03BF" w:rsidRDefault="00071E52" w:rsidP="003E6885">
      <w:pPr>
        <w:spacing w:before="100" w:beforeAutospacing="1" w:after="100" w:afterAutospacing="1" w:line="360" w:lineRule="auto"/>
        <w:jc w:val="both"/>
        <w:rPr>
          <w:rFonts w:ascii="Arial" w:hAnsi="Arial" w:cs="Arial"/>
        </w:rPr>
      </w:pPr>
      <w:r w:rsidRPr="007F03BF">
        <w:rPr>
          <w:rFonts w:ascii="Arial" w:hAnsi="Arial" w:cs="Arial"/>
        </w:rPr>
        <w:t>Con relación a las recomendaciones y observaciones emitidas a</w:t>
      </w:r>
      <w:r w:rsidR="00632D2C" w:rsidRPr="007F03BF">
        <w:rPr>
          <w:rFonts w:ascii="Arial" w:hAnsi="Arial" w:cs="Arial"/>
        </w:rPr>
        <w:t>l Poder Legislativo,</w:t>
      </w:r>
      <w:r w:rsidR="003E6885" w:rsidRPr="007F03BF">
        <w:rPr>
          <w:rFonts w:ascii="Arial" w:hAnsi="Arial" w:cs="Arial"/>
        </w:rPr>
        <w:t xml:space="preserve"> el Congreso de la Ciudad de México atendió las recomendaciones y observaciones, pero</w:t>
      </w:r>
      <w:r w:rsidR="00632D2C" w:rsidRPr="007F03BF">
        <w:rPr>
          <w:rFonts w:ascii="Arial" w:hAnsi="Arial" w:cs="Arial"/>
        </w:rPr>
        <w:t xml:space="preserve"> continúa presentando áreas</w:t>
      </w:r>
      <w:r w:rsidR="00D71D7B" w:rsidRPr="007F03BF">
        <w:rPr>
          <w:rFonts w:ascii="Arial" w:hAnsi="Arial" w:cs="Arial"/>
        </w:rPr>
        <w:t xml:space="preserve"> de</w:t>
      </w:r>
      <w:r w:rsidR="00632D2C" w:rsidRPr="007F03BF">
        <w:rPr>
          <w:rFonts w:ascii="Arial" w:hAnsi="Arial" w:cs="Arial"/>
        </w:rPr>
        <w:t xml:space="preserve"> oportunidad que lo </w:t>
      </w:r>
      <w:r w:rsidR="003E6885" w:rsidRPr="007F03BF">
        <w:rPr>
          <w:rFonts w:ascii="Arial" w:hAnsi="Arial" w:cs="Arial"/>
        </w:rPr>
        <w:t>sitúan</w:t>
      </w:r>
      <w:r w:rsidR="00632D2C" w:rsidRPr="007F03BF">
        <w:rPr>
          <w:rFonts w:ascii="Arial" w:hAnsi="Arial" w:cs="Arial"/>
        </w:rPr>
        <w:t xml:space="preserve"> en un cumplimiento parcial</w:t>
      </w:r>
      <w:r w:rsidR="004903C6" w:rsidRPr="007F03BF">
        <w:rPr>
          <w:rFonts w:ascii="Arial" w:hAnsi="Arial" w:cs="Arial"/>
        </w:rPr>
        <w:t xml:space="preserve">, con un IGOT de </w:t>
      </w:r>
      <w:r w:rsidR="003E6885" w:rsidRPr="007F03BF">
        <w:rPr>
          <w:rFonts w:ascii="Arial" w:hAnsi="Arial" w:cs="Arial"/>
        </w:rPr>
        <w:t>99.10</w:t>
      </w:r>
      <w:r w:rsidR="004903C6" w:rsidRPr="007F03BF">
        <w:rPr>
          <w:rFonts w:ascii="Arial" w:hAnsi="Arial" w:cs="Arial"/>
        </w:rPr>
        <w:t>%.</w:t>
      </w:r>
    </w:p>
    <w:p w14:paraId="712B7626" w14:textId="77777777" w:rsidR="00B018FB" w:rsidRPr="007F03BF" w:rsidRDefault="00900995" w:rsidP="003E6885">
      <w:pPr>
        <w:spacing w:before="100" w:beforeAutospacing="1" w:after="100" w:afterAutospacing="1" w:line="360" w:lineRule="auto"/>
        <w:jc w:val="both"/>
        <w:rPr>
          <w:rFonts w:ascii="Arial" w:hAnsi="Arial" w:cs="Arial"/>
        </w:rPr>
      </w:pPr>
      <w:r w:rsidRPr="007F03BF">
        <w:rPr>
          <w:rFonts w:ascii="Arial" w:hAnsi="Arial" w:cs="Arial"/>
          <w:b/>
        </w:rPr>
        <w:br w:type="page"/>
      </w:r>
    </w:p>
    <w:p w14:paraId="2B6096C1" w14:textId="77777777" w:rsidR="00C60C1A" w:rsidRPr="007F03BF" w:rsidRDefault="00C60C1A" w:rsidP="00FF7BD9">
      <w:pPr>
        <w:pStyle w:val="Ttulo1"/>
        <w:contextualSpacing/>
        <w:rPr>
          <w:rFonts w:ascii="Arial" w:hAnsi="Arial" w:cs="Arial"/>
          <w:b/>
          <w:color w:val="auto"/>
          <w:sz w:val="24"/>
          <w:szCs w:val="24"/>
        </w:rPr>
      </w:pPr>
      <w:bookmarkStart w:id="21" w:name="_Toc39684003"/>
      <w:r w:rsidRPr="007F03BF">
        <w:rPr>
          <w:rFonts w:ascii="Arial" w:hAnsi="Arial" w:cs="Arial"/>
          <w:b/>
          <w:color w:val="auto"/>
          <w:sz w:val="24"/>
          <w:szCs w:val="24"/>
        </w:rPr>
        <w:lastRenderedPageBreak/>
        <w:t>ÓRGANOS AUTÓNOMOS</w:t>
      </w:r>
      <w:bookmarkEnd w:id="21"/>
    </w:p>
    <w:p w14:paraId="33843139" w14:textId="77777777" w:rsidR="00C60C1A" w:rsidRPr="007F03BF" w:rsidRDefault="00C60C1A" w:rsidP="00C60C1A">
      <w:pPr>
        <w:contextualSpacing/>
        <w:rPr>
          <w:rFonts w:ascii="Arial" w:hAnsi="Arial" w:cs="Arial"/>
        </w:rPr>
      </w:pPr>
    </w:p>
    <w:p w14:paraId="716119A4" w14:textId="1527B88C" w:rsidR="00C5337D" w:rsidRPr="007F03BF" w:rsidRDefault="00C5337D" w:rsidP="00C5337D">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El ámbito de los Órganos Autónomos está integrado por </w:t>
      </w:r>
      <w:r w:rsidR="000E5534" w:rsidRPr="007F03BF">
        <w:rPr>
          <w:rFonts w:ascii="Arial" w:hAnsi="Arial" w:cs="Arial"/>
          <w:color w:val="000000" w:themeColor="text1"/>
        </w:rPr>
        <w:t>7</w:t>
      </w:r>
      <w:r w:rsidR="00E846CB" w:rsidRPr="007F03BF">
        <w:rPr>
          <w:rFonts w:ascii="Arial" w:hAnsi="Arial" w:cs="Arial"/>
          <w:color w:val="000000" w:themeColor="text1"/>
        </w:rPr>
        <w:t xml:space="preserve"> </w:t>
      </w:r>
      <w:r w:rsidRPr="007F03BF">
        <w:rPr>
          <w:rFonts w:ascii="Arial" w:hAnsi="Arial" w:cs="Arial"/>
          <w:color w:val="000000" w:themeColor="text1"/>
        </w:rPr>
        <w:t>sujetos obligados, de conformidad con el Padrón de sujetos obligados supeditados al cumplimiento de la Ley de Transparencia, Acceso a la Información Pública y Rendición de Cuentas de la Ciudad de México</w:t>
      </w:r>
      <w:r w:rsidRPr="007F03BF" w:rsidDel="005B5D1B">
        <w:rPr>
          <w:rFonts w:ascii="Arial" w:hAnsi="Arial" w:cs="Arial"/>
          <w:color w:val="000000" w:themeColor="text1"/>
        </w:rPr>
        <w:t xml:space="preserve"> </w:t>
      </w:r>
      <w:r w:rsidRPr="007F03BF">
        <w:rPr>
          <w:rFonts w:ascii="Arial" w:hAnsi="Arial" w:cs="Arial"/>
          <w:color w:val="000000" w:themeColor="text1"/>
        </w:rPr>
        <w:t xml:space="preserve">y de la Ley de Protección de Datos Personales en Posesión de los sujetos obligados de la Ciudad de México vigente. De los </w:t>
      </w:r>
      <w:r w:rsidR="000E5534" w:rsidRPr="007F03BF">
        <w:rPr>
          <w:rFonts w:ascii="Arial" w:hAnsi="Arial" w:cs="Arial"/>
          <w:color w:val="000000" w:themeColor="text1"/>
        </w:rPr>
        <w:t>2</w:t>
      </w:r>
      <w:r w:rsidRPr="007F03BF">
        <w:rPr>
          <w:rFonts w:ascii="Arial" w:hAnsi="Arial" w:cs="Arial"/>
          <w:color w:val="000000" w:themeColor="text1"/>
        </w:rPr>
        <w:t xml:space="preserve"> sujetos obligados que integran el Padrón, uno se integró al Padrón durante el primer semestre del año 2019 y fue evaluado durante la Segunda Evaluación Vinculante 2019. </w:t>
      </w:r>
    </w:p>
    <w:p w14:paraId="3521A2CA" w14:textId="77777777" w:rsidR="00C5337D" w:rsidRPr="007F03BF" w:rsidRDefault="00C5337D" w:rsidP="00C5337D">
      <w:pPr>
        <w:spacing w:before="100" w:beforeAutospacing="1" w:after="100" w:afterAutospacing="1" w:line="360" w:lineRule="auto"/>
        <w:contextualSpacing/>
        <w:jc w:val="both"/>
        <w:rPr>
          <w:rFonts w:ascii="Arial" w:hAnsi="Arial" w:cs="Arial"/>
          <w:color w:val="000000" w:themeColor="text1"/>
        </w:rPr>
      </w:pPr>
    </w:p>
    <w:p w14:paraId="666EDCBF" w14:textId="77777777" w:rsidR="00C5337D" w:rsidRPr="007F03BF" w:rsidRDefault="00C5337D" w:rsidP="00C5337D">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El </w:t>
      </w:r>
      <w:r w:rsidR="0056401D" w:rsidRPr="007F03BF">
        <w:rPr>
          <w:rFonts w:ascii="Arial" w:hAnsi="Arial" w:cs="Arial"/>
          <w:color w:val="000000" w:themeColor="text1"/>
        </w:rPr>
        <w:t xml:space="preserve">Instituto de Transparencia, Acceso a la Información Pública, Protección de Datos Personales y Rendición de Cuentas de la Ciudad de México </w:t>
      </w:r>
      <w:r w:rsidRPr="007F03BF">
        <w:rPr>
          <w:rFonts w:ascii="Arial" w:hAnsi="Arial" w:cs="Arial"/>
          <w:color w:val="000000" w:themeColor="text1"/>
        </w:rPr>
        <w:t>Congreso de la Ciudad de México</w:t>
      </w:r>
      <w:r w:rsidR="0056401D" w:rsidRPr="007F03BF">
        <w:rPr>
          <w:rFonts w:ascii="Arial" w:hAnsi="Arial" w:cs="Arial"/>
          <w:color w:val="000000" w:themeColor="text1"/>
        </w:rPr>
        <w:t xml:space="preserve"> </w:t>
      </w:r>
      <w:r w:rsidRPr="007F03BF">
        <w:rPr>
          <w:rFonts w:ascii="Arial" w:hAnsi="Arial" w:cs="Arial"/>
          <w:color w:val="000000" w:themeColor="text1"/>
        </w:rPr>
        <w:t xml:space="preserve">obtuvo un índice general de cumplimiento de obligaciones de transparencia de </w:t>
      </w:r>
      <w:r w:rsidR="0056401D" w:rsidRPr="007F03BF">
        <w:rPr>
          <w:rFonts w:ascii="Arial" w:hAnsi="Arial" w:cs="Arial"/>
          <w:color w:val="000000" w:themeColor="text1"/>
        </w:rPr>
        <w:t>98.34</w:t>
      </w:r>
      <w:r w:rsidRPr="007F03BF">
        <w:rPr>
          <w:rFonts w:ascii="Arial" w:hAnsi="Arial" w:cs="Arial"/>
          <w:color w:val="000000" w:themeColor="text1"/>
        </w:rPr>
        <w:t xml:space="preserve">%. </w:t>
      </w:r>
    </w:p>
    <w:p w14:paraId="46178286" w14:textId="77777777" w:rsidR="00C5337D" w:rsidRPr="007F03BF" w:rsidRDefault="00C5337D" w:rsidP="00C5337D">
      <w:pPr>
        <w:spacing w:before="100" w:beforeAutospacing="1" w:after="100" w:afterAutospacing="1" w:line="360" w:lineRule="auto"/>
        <w:contextualSpacing/>
        <w:jc w:val="both"/>
        <w:rPr>
          <w:rFonts w:ascii="Arial" w:hAnsi="Arial" w:cs="Arial"/>
          <w:color w:val="000000" w:themeColor="text1"/>
        </w:rPr>
      </w:pPr>
    </w:p>
    <w:p w14:paraId="0EF7212E" w14:textId="77777777" w:rsidR="00C5337D" w:rsidRPr="007F03BF" w:rsidRDefault="00C5337D" w:rsidP="00C5337D">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Los sujetos obligados, así como su Índice de Cumplimiento de obligaciones de transparencia del Portal de Internet (IGOT-PI), el de la Plataforma Nacional de Transparencia (IGOT-PNT) y el Índice General de Cumplimiento de obligaciones de transparencia (IGOT) se presentan en la siguiente tabla, ordenados de forma descendente, respecto del IGOT: </w:t>
      </w:r>
    </w:p>
    <w:p w14:paraId="39C094AA" w14:textId="77777777" w:rsidR="00C60C1A" w:rsidRPr="007F03BF" w:rsidRDefault="00C60C1A" w:rsidP="00C60C1A">
      <w:pPr>
        <w:spacing w:before="100" w:beforeAutospacing="1" w:after="100" w:afterAutospacing="1" w:line="360" w:lineRule="auto"/>
        <w:contextualSpacing/>
        <w:jc w:val="both"/>
        <w:rPr>
          <w:rFonts w:ascii="Arial" w:hAnsi="Arial" w:cs="Arial"/>
        </w:rPr>
      </w:pPr>
    </w:p>
    <w:tbl>
      <w:tblPr>
        <w:tblW w:w="8926" w:type="dxa"/>
        <w:tblCellMar>
          <w:left w:w="70" w:type="dxa"/>
          <w:right w:w="70" w:type="dxa"/>
        </w:tblCellMar>
        <w:tblLook w:val="04A0" w:firstRow="1" w:lastRow="0" w:firstColumn="1" w:lastColumn="0" w:noHBand="0" w:noVBand="1"/>
      </w:tblPr>
      <w:tblGrid>
        <w:gridCol w:w="529"/>
        <w:gridCol w:w="5136"/>
        <w:gridCol w:w="1123"/>
        <w:gridCol w:w="1263"/>
        <w:gridCol w:w="875"/>
      </w:tblGrid>
      <w:tr w:rsidR="00C60C1A" w:rsidRPr="007F03BF" w14:paraId="17113A54" w14:textId="77777777" w:rsidTr="008C4FD7">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2C140504" w14:textId="77777777" w:rsidR="00C60C1A" w:rsidRPr="007F03BF" w:rsidRDefault="00C5337D" w:rsidP="00C60C1A">
            <w:pPr>
              <w:jc w:val="center"/>
              <w:rPr>
                <w:rFonts w:ascii="Arial" w:hAnsi="Arial" w:cs="Arial"/>
                <w:b/>
                <w:bCs/>
                <w:color w:val="000000"/>
                <w:sz w:val="20"/>
                <w:szCs w:val="20"/>
              </w:rPr>
            </w:pPr>
            <w:r w:rsidRPr="007F03BF">
              <w:rPr>
                <w:rFonts w:ascii="Arial" w:hAnsi="Arial" w:cs="Arial"/>
                <w:b/>
                <w:bCs/>
                <w:color w:val="000000"/>
                <w:sz w:val="20"/>
                <w:szCs w:val="20"/>
              </w:rPr>
              <w:t xml:space="preserve">Resultados de la </w:t>
            </w:r>
            <w:r w:rsidR="00B2542B" w:rsidRPr="007F03BF">
              <w:rPr>
                <w:rFonts w:ascii="Arial" w:hAnsi="Arial" w:cs="Arial"/>
                <w:b/>
                <w:bCs/>
                <w:color w:val="000000"/>
                <w:sz w:val="20"/>
                <w:szCs w:val="20"/>
              </w:rPr>
              <w:t>Primera</w:t>
            </w:r>
            <w:r w:rsidRPr="007F03BF">
              <w:rPr>
                <w:rFonts w:ascii="Arial" w:hAnsi="Arial" w:cs="Arial"/>
                <w:b/>
                <w:bCs/>
                <w:color w:val="000000"/>
                <w:sz w:val="20"/>
                <w:szCs w:val="20"/>
              </w:rPr>
              <w:t xml:space="preserve"> Evaluación Vinculante 20</w:t>
            </w:r>
            <w:r w:rsidR="00B2542B" w:rsidRPr="007F03BF">
              <w:rPr>
                <w:rFonts w:ascii="Arial" w:hAnsi="Arial" w:cs="Arial"/>
                <w:b/>
                <w:bCs/>
                <w:color w:val="000000"/>
                <w:sz w:val="20"/>
                <w:szCs w:val="20"/>
              </w:rPr>
              <w:t>20</w:t>
            </w:r>
            <w:r w:rsidRPr="007F03BF">
              <w:rPr>
                <w:rFonts w:ascii="Arial" w:hAnsi="Arial" w:cs="Arial"/>
                <w:b/>
                <w:bCs/>
                <w:color w:val="000000"/>
                <w:sz w:val="20"/>
                <w:szCs w:val="20"/>
              </w:rPr>
              <w:t>, respecto de las recomendaciones y observaciones de la</w:t>
            </w:r>
            <w:r w:rsidR="00B2542B" w:rsidRPr="007F03BF">
              <w:rPr>
                <w:rFonts w:ascii="Arial" w:hAnsi="Arial" w:cs="Arial"/>
                <w:b/>
                <w:bCs/>
                <w:color w:val="000000"/>
                <w:sz w:val="20"/>
                <w:szCs w:val="20"/>
              </w:rPr>
              <w:t xml:space="preserve"> Segunda</w:t>
            </w:r>
            <w:r w:rsidRPr="007F03BF">
              <w:rPr>
                <w:rFonts w:ascii="Arial" w:hAnsi="Arial" w:cs="Arial"/>
                <w:b/>
                <w:bCs/>
                <w:color w:val="000000"/>
                <w:sz w:val="20"/>
                <w:szCs w:val="20"/>
              </w:rPr>
              <w:t xml:space="preserve"> Evaluación Vinculante 2019</w:t>
            </w:r>
          </w:p>
        </w:tc>
      </w:tr>
      <w:tr w:rsidR="00C60C1A" w:rsidRPr="007F03BF" w14:paraId="412ECF07" w14:textId="77777777" w:rsidTr="008C4FD7">
        <w:trPr>
          <w:trHeight w:val="340"/>
          <w:tblHeader/>
        </w:trPr>
        <w:tc>
          <w:tcPr>
            <w:tcW w:w="529" w:type="dxa"/>
            <w:tcBorders>
              <w:top w:val="nil"/>
              <w:left w:val="single" w:sz="4" w:space="0" w:color="auto"/>
              <w:bottom w:val="single" w:sz="4" w:space="0" w:color="auto"/>
              <w:right w:val="single" w:sz="4" w:space="0" w:color="auto"/>
            </w:tcBorders>
            <w:shd w:val="clear" w:color="auto" w:fill="70AD47" w:themeFill="accent6"/>
            <w:vAlign w:val="center"/>
            <w:hideMark/>
          </w:tcPr>
          <w:p w14:paraId="0AF7741F" w14:textId="77777777" w:rsidR="00C60C1A" w:rsidRPr="007F03BF" w:rsidRDefault="00C60C1A" w:rsidP="00C60C1A">
            <w:pPr>
              <w:jc w:val="center"/>
              <w:rPr>
                <w:rFonts w:ascii="Arial" w:hAnsi="Arial" w:cs="Arial"/>
                <w:b/>
                <w:bCs/>
                <w:color w:val="000000"/>
                <w:sz w:val="20"/>
                <w:szCs w:val="20"/>
              </w:rPr>
            </w:pPr>
            <w:r w:rsidRPr="007F03BF">
              <w:rPr>
                <w:rFonts w:ascii="Arial" w:hAnsi="Arial" w:cs="Arial"/>
                <w:b/>
                <w:bCs/>
                <w:color w:val="000000"/>
                <w:sz w:val="20"/>
                <w:szCs w:val="20"/>
              </w:rPr>
              <w:t>No.</w:t>
            </w:r>
          </w:p>
        </w:tc>
        <w:tc>
          <w:tcPr>
            <w:tcW w:w="5136" w:type="dxa"/>
            <w:tcBorders>
              <w:top w:val="nil"/>
              <w:left w:val="nil"/>
              <w:bottom w:val="single" w:sz="4" w:space="0" w:color="auto"/>
              <w:right w:val="single" w:sz="4" w:space="0" w:color="auto"/>
            </w:tcBorders>
            <w:shd w:val="clear" w:color="auto" w:fill="70AD47" w:themeFill="accent6"/>
            <w:vAlign w:val="center"/>
            <w:hideMark/>
          </w:tcPr>
          <w:p w14:paraId="522E874D" w14:textId="77777777" w:rsidR="00C60C1A" w:rsidRPr="007F03BF" w:rsidRDefault="00C60C1A" w:rsidP="00C60C1A">
            <w:pPr>
              <w:jc w:val="center"/>
              <w:rPr>
                <w:rFonts w:ascii="Arial" w:hAnsi="Arial" w:cs="Arial"/>
                <w:b/>
                <w:bCs/>
                <w:color w:val="000000"/>
                <w:sz w:val="20"/>
                <w:szCs w:val="20"/>
              </w:rPr>
            </w:pPr>
            <w:r w:rsidRPr="007F03BF">
              <w:rPr>
                <w:rFonts w:ascii="Arial" w:hAnsi="Arial" w:cs="Arial"/>
                <w:b/>
                <w:bCs/>
                <w:color w:val="000000"/>
                <w:sz w:val="20"/>
                <w:szCs w:val="20"/>
              </w:rPr>
              <w:t>Sujeto obligado</w:t>
            </w:r>
          </w:p>
        </w:tc>
        <w:tc>
          <w:tcPr>
            <w:tcW w:w="1123" w:type="dxa"/>
            <w:tcBorders>
              <w:top w:val="nil"/>
              <w:left w:val="nil"/>
              <w:bottom w:val="single" w:sz="4" w:space="0" w:color="auto"/>
              <w:right w:val="single" w:sz="4" w:space="0" w:color="auto"/>
            </w:tcBorders>
            <w:shd w:val="clear" w:color="auto" w:fill="70AD47" w:themeFill="accent6"/>
            <w:vAlign w:val="center"/>
            <w:hideMark/>
          </w:tcPr>
          <w:p w14:paraId="5E097E18" w14:textId="77777777" w:rsidR="00C60C1A" w:rsidRPr="007F03BF" w:rsidRDefault="00C60C1A" w:rsidP="00C60C1A">
            <w:pPr>
              <w:jc w:val="center"/>
              <w:rPr>
                <w:rFonts w:ascii="Arial" w:hAnsi="Arial" w:cs="Arial"/>
                <w:b/>
                <w:bCs/>
                <w:color w:val="000000"/>
                <w:sz w:val="20"/>
                <w:szCs w:val="20"/>
              </w:rPr>
            </w:pPr>
            <w:r w:rsidRPr="007F03BF">
              <w:rPr>
                <w:rFonts w:ascii="Arial" w:hAnsi="Arial" w:cs="Arial"/>
                <w:b/>
                <w:bCs/>
                <w:color w:val="000000"/>
                <w:sz w:val="20"/>
                <w:szCs w:val="20"/>
              </w:rPr>
              <w:t>ICOT-</w:t>
            </w:r>
            <w:r w:rsidR="00677E37" w:rsidRPr="007F03BF">
              <w:rPr>
                <w:rFonts w:ascii="Arial" w:hAnsi="Arial" w:cs="Arial"/>
                <w:b/>
                <w:bCs/>
                <w:color w:val="000000"/>
                <w:sz w:val="20"/>
                <w:szCs w:val="20"/>
              </w:rPr>
              <w:t>PI</w:t>
            </w:r>
          </w:p>
        </w:tc>
        <w:tc>
          <w:tcPr>
            <w:tcW w:w="1263" w:type="dxa"/>
            <w:tcBorders>
              <w:top w:val="nil"/>
              <w:left w:val="nil"/>
              <w:bottom w:val="single" w:sz="4" w:space="0" w:color="auto"/>
              <w:right w:val="single" w:sz="4" w:space="0" w:color="auto"/>
            </w:tcBorders>
            <w:shd w:val="clear" w:color="auto" w:fill="70AD47" w:themeFill="accent6"/>
            <w:vAlign w:val="center"/>
            <w:hideMark/>
          </w:tcPr>
          <w:p w14:paraId="2D3758DA" w14:textId="77777777" w:rsidR="00C60C1A" w:rsidRPr="007F03BF" w:rsidRDefault="00C60C1A" w:rsidP="00C60C1A">
            <w:pPr>
              <w:jc w:val="center"/>
              <w:rPr>
                <w:rFonts w:ascii="Arial" w:hAnsi="Arial" w:cs="Arial"/>
                <w:b/>
                <w:bCs/>
                <w:color w:val="000000"/>
                <w:sz w:val="20"/>
                <w:szCs w:val="20"/>
              </w:rPr>
            </w:pPr>
            <w:r w:rsidRPr="007F03BF">
              <w:rPr>
                <w:rFonts w:ascii="Arial" w:hAnsi="Arial" w:cs="Arial"/>
                <w:b/>
                <w:bCs/>
                <w:color w:val="000000"/>
                <w:sz w:val="20"/>
                <w:szCs w:val="20"/>
              </w:rPr>
              <w:t>ICOT-PNT</w:t>
            </w:r>
          </w:p>
        </w:tc>
        <w:tc>
          <w:tcPr>
            <w:tcW w:w="875" w:type="dxa"/>
            <w:tcBorders>
              <w:top w:val="nil"/>
              <w:left w:val="nil"/>
              <w:bottom w:val="single" w:sz="4" w:space="0" w:color="auto"/>
              <w:right w:val="single" w:sz="4" w:space="0" w:color="auto"/>
            </w:tcBorders>
            <w:shd w:val="clear" w:color="auto" w:fill="70AD47" w:themeFill="accent6"/>
            <w:vAlign w:val="center"/>
            <w:hideMark/>
          </w:tcPr>
          <w:p w14:paraId="3F587FE2" w14:textId="77777777" w:rsidR="00C60C1A" w:rsidRPr="007F03BF" w:rsidRDefault="00C60C1A" w:rsidP="00C60C1A">
            <w:pPr>
              <w:jc w:val="center"/>
              <w:rPr>
                <w:rFonts w:ascii="Arial" w:hAnsi="Arial" w:cs="Arial"/>
                <w:b/>
                <w:bCs/>
                <w:color w:val="000000"/>
                <w:sz w:val="20"/>
                <w:szCs w:val="20"/>
              </w:rPr>
            </w:pPr>
            <w:r w:rsidRPr="007F03BF">
              <w:rPr>
                <w:rFonts w:ascii="Arial" w:hAnsi="Arial" w:cs="Arial"/>
                <w:b/>
                <w:bCs/>
                <w:color w:val="000000"/>
                <w:sz w:val="20"/>
                <w:szCs w:val="20"/>
              </w:rPr>
              <w:t>IGOT</w:t>
            </w:r>
          </w:p>
        </w:tc>
      </w:tr>
      <w:tr w:rsidR="00C60C1A" w:rsidRPr="007F03BF" w14:paraId="749BE139" w14:textId="77777777" w:rsidTr="00C60C1A">
        <w:trPr>
          <w:trHeight w:val="680"/>
        </w:trPr>
        <w:tc>
          <w:tcPr>
            <w:tcW w:w="529" w:type="dxa"/>
            <w:tcBorders>
              <w:top w:val="nil"/>
              <w:left w:val="single" w:sz="4" w:space="0" w:color="auto"/>
              <w:bottom w:val="single" w:sz="4" w:space="0" w:color="auto"/>
              <w:right w:val="single" w:sz="4" w:space="0" w:color="auto"/>
            </w:tcBorders>
            <w:shd w:val="clear" w:color="auto" w:fill="auto"/>
            <w:vAlign w:val="center"/>
            <w:hideMark/>
          </w:tcPr>
          <w:p w14:paraId="3BC915C9" w14:textId="77777777" w:rsidR="00C60C1A" w:rsidRPr="007F03BF" w:rsidRDefault="00C5337D" w:rsidP="00C60C1A">
            <w:pPr>
              <w:jc w:val="center"/>
              <w:rPr>
                <w:rFonts w:ascii="Arial" w:hAnsi="Arial" w:cs="Arial"/>
                <w:color w:val="000000"/>
                <w:sz w:val="20"/>
                <w:szCs w:val="20"/>
              </w:rPr>
            </w:pPr>
            <w:r w:rsidRPr="007F03BF">
              <w:rPr>
                <w:rFonts w:ascii="Arial" w:hAnsi="Arial" w:cs="Arial"/>
                <w:color w:val="000000"/>
                <w:sz w:val="20"/>
                <w:szCs w:val="20"/>
              </w:rPr>
              <w:t>1</w:t>
            </w:r>
          </w:p>
        </w:tc>
        <w:tc>
          <w:tcPr>
            <w:tcW w:w="5136" w:type="dxa"/>
            <w:tcBorders>
              <w:top w:val="nil"/>
              <w:left w:val="nil"/>
              <w:bottom w:val="single" w:sz="4" w:space="0" w:color="auto"/>
              <w:right w:val="single" w:sz="4" w:space="0" w:color="auto"/>
            </w:tcBorders>
            <w:shd w:val="clear" w:color="auto" w:fill="auto"/>
            <w:vAlign w:val="center"/>
            <w:hideMark/>
          </w:tcPr>
          <w:p w14:paraId="2C559C7C" w14:textId="77777777" w:rsidR="00C60C1A" w:rsidRPr="007F03BF" w:rsidRDefault="00C60C1A" w:rsidP="00C60C1A">
            <w:pPr>
              <w:jc w:val="both"/>
              <w:rPr>
                <w:rFonts w:ascii="Arial" w:hAnsi="Arial" w:cs="Arial"/>
                <w:color w:val="000000"/>
                <w:sz w:val="20"/>
                <w:szCs w:val="20"/>
              </w:rPr>
            </w:pPr>
            <w:r w:rsidRPr="007F03BF">
              <w:rPr>
                <w:rFonts w:ascii="Arial" w:hAnsi="Arial" w:cs="Arial"/>
                <w:color w:val="000000"/>
                <w:sz w:val="20"/>
                <w:szCs w:val="20"/>
              </w:rPr>
              <w:t>Instituto de Transparencia, Acceso a la Información Pública, Protección de Datos Personales y Rendición de Cuentas de la Ciudad de México</w:t>
            </w:r>
          </w:p>
        </w:tc>
        <w:tc>
          <w:tcPr>
            <w:tcW w:w="1123" w:type="dxa"/>
            <w:tcBorders>
              <w:top w:val="nil"/>
              <w:left w:val="nil"/>
              <w:bottom w:val="single" w:sz="4" w:space="0" w:color="auto"/>
              <w:right w:val="single" w:sz="4" w:space="0" w:color="auto"/>
            </w:tcBorders>
            <w:shd w:val="clear" w:color="auto" w:fill="auto"/>
            <w:vAlign w:val="center"/>
            <w:hideMark/>
          </w:tcPr>
          <w:p w14:paraId="6B60FA11" w14:textId="77777777" w:rsidR="00C60C1A" w:rsidRPr="007F03BF" w:rsidRDefault="00C60C1A" w:rsidP="00C60C1A">
            <w:pPr>
              <w:jc w:val="center"/>
              <w:rPr>
                <w:rFonts w:ascii="Arial" w:hAnsi="Arial" w:cs="Arial"/>
                <w:color w:val="000000"/>
                <w:sz w:val="20"/>
                <w:szCs w:val="20"/>
              </w:rPr>
            </w:pPr>
            <w:r w:rsidRPr="007F03BF">
              <w:rPr>
                <w:rFonts w:ascii="Arial" w:hAnsi="Arial" w:cs="Arial"/>
                <w:color w:val="000000"/>
                <w:sz w:val="20"/>
                <w:szCs w:val="20"/>
              </w:rPr>
              <w:t>98.</w:t>
            </w:r>
            <w:r w:rsidR="00C5337D" w:rsidRPr="007F03BF">
              <w:rPr>
                <w:rFonts w:ascii="Arial" w:hAnsi="Arial" w:cs="Arial"/>
                <w:color w:val="000000"/>
                <w:sz w:val="20"/>
                <w:szCs w:val="20"/>
              </w:rPr>
              <w:t>78</w:t>
            </w:r>
          </w:p>
        </w:tc>
        <w:tc>
          <w:tcPr>
            <w:tcW w:w="1263" w:type="dxa"/>
            <w:tcBorders>
              <w:top w:val="nil"/>
              <w:left w:val="nil"/>
              <w:bottom w:val="single" w:sz="4" w:space="0" w:color="auto"/>
              <w:right w:val="single" w:sz="4" w:space="0" w:color="auto"/>
            </w:tcBorders>
            <w:shd w:val="clear" w:color="auto" w:fill="auto"/>
            <w:vAlign w:val="center"/>
            <w:hideMark/>
          </w:tcPr>
          <w:p w14:paraId="026640C9" w14:textId="77777777" w:rsidR="00C60C1A" w:rsidRPr="007F03BF" w:rsidRDefault="00C60C1A" w:rsidP="00C60C1A">
            <w:pPr>
              <w:jc w:val="center"/>
              <w:rPr>
                <w:rFonts w:ascii="Arial" w:hAnsi="Arial" w:cs="Arial"/>
                <w:color w:val="000000"/>
                <w:sz w:val="20"/>
                <w:szCs w:val="20"/>
              </w:rPr>
            </w:pPr>
            <w:r w:rsidRPr="007F03BF">
              <w:rPr>
                <w:rFonts w:ascii="Arial" w:hAnsi="Arial" w:cs="Arial"/>
                <w:color w:val="000000"/>
                <w:sz w:val="20"/>
                <w:szCs w:val="20"/>
              </w:rPr>
              <w:t>9</w:t>
            </w:r>
            <w:r w:rsidR="00C5337D" w:rsidRPr="007F03BF">
              <w:rPr>
                <w:rFonts w:ascii="Arial" w:hAnsi="Arial" w:cs="Arial"/>
                <w:color w:val="000000"/>
                <w:sz w:val="20"/>
                <w:szCs w:val="20"/>
              </w:rPr>
              <w:t>7.91</w:t>
            </w:r>
          </w:p>
        </w:tc>
        <w:tc>
          <w:tcPr>
            <w:tcW w:w="875" w:type="dxa"/>
            <w:tcBorders>
              <w:top w:val="nil"/>
              <w:left w:val="nil"/>
              <w:bottom w:val="single" w:sz="4" w:space="0" w:color="auto"/>
              <w:right w:val="single" w:sz="4" w:space="0" w:color="auto"/>
            </w:tcBorders>
            <w:shd w:val="clear" w:color="auto" w:fill="auto"/>
            <w:vAlign w:val="center"/>
            <w:hideMark/>
          </w:tcPr>
          <w:p w14:paraId="27D013FF" w14:textId="77777777" w:rsidR="00C60C1A" w:rsidRPr="007F03BF" w:rsidRDefault="00C60C1A" w:rsidP="00C60C1A">
            <w:pPr>
              <w:jc w:val="center"/>
              <w:rPr>
                <w:rFonts w:ascii="Arial" w:hAnsi="Arial" w:cs="Arial"/>
                <w:color w:val="000000"/>
                <w:sz w:val="20"/>
                <w:szCs w:val="20"/>
              </w:rPr>
            </w:pPr>
            <w:r w:rsidRPr="007F03BF">
              <w:rPr>
                <w:rFonts w:ascii="Arial" w:hAnsi="Arial" w:cs="Arial"/>
                <w:color w:val="000000"/>
                <w:sz w:val="20"/>
                <w:szCs w:val="20"/>
              </w:rPr>
              <w:t>9</w:t>
            </w:r>
            <w:r w:rsidR="00C5337D" w:rsidRPr="007F03BF">
              <w:rPr>
                <w:rFonts w:ascii="Arial" w:hAnsi="Arial" w:cs="Arial"/>
                <w:color w:val="000000"/>
                <w:sz w:val="20"/>
                <w:szCs w:val="20"/>
              </w:rPr>
              <w:t>8</w:t>
            </w:r>
            <w:r w:rsidRPr="007F03BF">
              <w:rPr>
                <w:rFonts w:ascii="Arial" w:hAnsi="Arial" w:cs="Arial"/>
                <w:color w:val="000000"/>
                <w:sz w:val="20"/>
                <w:szCs w:val="20"/>
              </w:rPr>
              <w:t>.3</w:t>
            </w:r>
            <w:r w:rsidR="00C5337D" w:rsidRPr="007F03BF">
              <w:rPr>
                <w:rFonts w:ascii="Arial" w:hAnsi="Arial" w:cs="Arial"/>
                <w:color w:val="000000"/>
                <w:sz w:val="20"/>
                <w:szCs w:val="20"/>
              </w:rPr>
              <w:t>4</w:t>
            </w:r>
          </w:p>
        </w:tc>
      </w:tr>
    </w:tbl>
    <w:p w14:paraId="1B1C3268" w14:textId="77777777" w:rsidR="00C60C1A" w:rsidRPr="007F03BF" w:rsidRDefault="00C60C1A" w:rsidP="00C60C1A">
      <w:pPr>
        <w:spacing w:before="100" w:beforeAutospacing="1" w:after="100" w:afterAutospacing="1" w:line="360" w:lineRule="auto"/>
        <w:contextualSpacing/>
        <w:jc w:val="both"/>
        <w:rPr>
          <w:rFonts w:ascii="Arial" w:hAnsi="Arial" w:cs="Arial"/>
          <w:sz w:val="16"/>
          <w:szCs w:val="16"/>
        </w:rPr>
      </w:pPr>
      <w:r w:rsidRPr="007F03BF">
        <w:rPr>
          <w:rFonts w:ascii="Arial" w:hAnsi="Arial" w:cs="Arial"/>
          <w:b/>
          <w:sz w:val="16"/>
          <w:szCs w:val="16"/>
        </w:rPr>
        <w:t>Nota metodológica</w:t>
      </w:r>
      <w:r w:rsidRPr="007F03BF">
        <w:rPr>
          <w:rFonts w:ascii="Arial" w:hAnsi="Arial" w:cs="Arial"/>
          <w:sz w:val="16"/>
          <w:szCs w:val="16"/>
        </w:rPr>
        <w:t xml:space="preserve">: </w:t>
      </w:r>
    </w:p>
    <w:p w14:paraId="23C68C6F" w14:textId="77777777" w:rsidR="00C60C1A" w:rsidRPr="007F03BF" w:rsidRDefault="00C60C1A" w:rsidP="00C60C1A">
      <w:pPr>
        <w:spacing w:before="100" w:beforeAutospacing="1" w:after="100" w:afterAutospacing="1" w:line="360" w:lineRule="auto"/>
        <w:contextualSpacing/>
        <w:jc w:val="both"/>
        <w:rPr>
          <w:rFonts w:ascii="Arial" w:hAnsi="Arial" w:cs="Arial"/>
          <w:sz w:val="16"/>
          <w:szCs w:val="16"/>
        </w:rPr>
      </w:pPr>
      <w:r w:rsidRPr="007F03BF">
        <w:rPr>
          <w:rFonts w:ascii="Arial" w:hAnsi="Arial" w:cs="Arial"/>
          <w:sz w:val="16"/>
          <w:szCs w:val="16"/>
        </w:rPr>
        <w:t>El IGOT se compone del promedio de ICOT-</w:t>
      </w:r>
      <w:r w:rsidR="00677E37" w:rsidRPr="007F03BF">
        <w:rPr>
          <w:rFonts w:ascii="Arial" w:hAnsi="Arial" w:cs="Arial"/>
          <w:sz w:val="16"/>
          <w:szCs w:val="16"/>
        </w:rPr>
        <w:t>PI</w:t>
      </w:r>
      <w:r w:rsidRPr="007F03BF">
        <w:rPr>
          <w:rFonts w:ascii="Arial" w:hAnsi="Arial" w:cs="Arial"/>
          <w:sz w:val="16"/>
          <w:szCs w:val="16"/>
        </w:rPr>
        <w:t xml:space="preserve"> e ICOT-PNT.</w:t>
      </w:r>
    </w:p>
    <w:p w14:paraId="13065133" w14:textId="77777777" w:rsidR="00C60C1A" w:rsidRPr="007F03BF" w:rsidRDefault="00C60C1A" w:rsidP="00C60C1A">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w:t>
      </w:r>
      <w:r w:rsidR="00677E37" w:rsidRPr="007F03BF">
        <w:rPr>
          <w:rFonts w:ascii="Arial" w:hAnsi="Arial" w:cs="Arial"/>
          <w:b/>
          <w:bCs/>
          <w:color w:val="000000"/>
          <w:sz w:val="16"/>
          <w:szCs w:val="16"/>
        </w:rPr>
        <w:t>PI</w:t>
      </w:r>
      <w:r w:rsidRPr="007F03BF">
        <w:rPr>
          <w:rFonts w:ascii="Arial" w:hAnsi="Arial" w:cs="Arial"/>
          <w:b/>
          <w:bCs/>
          <w:color w:val="000000"/>
          <w:sz w:val="16"/>
          <w:szCs w:val="16"/>
        </w:rPr>
        <w:t>:</w:t>
      </w:r>
      <w:r w:rsidRPr="007F03BF">
        <w:rPr>
          <w:rFonts w:ascii="Arial" w:hAnsi="Arial" w:cs="Arial"/>
          <w:color w:val="000000"/>
          <w:sz w:val="16"/>
          <w:szCs w:val="16"/>
        </w:rPr>
        <w:t xml:space="preserve"> corresponde al porcentaje del índice que hace referencia a la información que se encuentra publicada y actualizada en el Portal de Internet (PI) del sujeto obligado. </w:t>
      </w:r>
    </w:p>
    <w:p w14:paraId="7465C0F4" w14:textId="77777777" w:rsidR="00C60C1A" w:rsidRPr="007F03BF" w:rsidRDefault="00C60C1A" w:rsidP="00C60C1A">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PNT:</w:t>
      </w:r>
      <w:r w:rsidRPr="007F03BF">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sujeto obligado.</w:t>
      </w:r>
    </w:p>
    <w:p w14:paraId="7EA85004" w14:textId="77777777" w:rsidR="00C60C1A" w:rsidRPr="007F03BF" w:rsidRDefault="00C60C1A" w:rsidP="00C60C1A">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lastRenderedPageBreak/>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IGOT: </w:t>
      </w:r>
      <w:r w:rsidRPr="007F03BF">
        <w:rPr>
          <w:rFonts w:ascii="Arial" w:hAnsi="Arial" w:cs="Arial"/>
          <w:color w:val="000000"/>
          <w:sz w:val="16"/>
          <w:szCs w:val="16"/>
        </w:rPr>
        <w:t>corresponde al porcentaje del índice que hace referencia a la información que se encuentra publicada y actualizada tanto en la PNT y el PI del sujeto obligado.</w:t>
      </w:r>
    </w:p>
    <w:p w14:paraId="1A12A191" w14:textId="77777777" w:rsidR="00C60C1A" w:rsidRPr="007F03BF" w:rsidRDefault="00C60C1A" w:rsidP="00C60C1A">
      <w:pPr>
        <w:spacing w:before="100" w:beforeAutospacing="1" w:after="100" w:afterAutospacing="1" w:line="360" w:lineRule="auto"/>
        <w:contextualSpacing/>
        <w:jc w:val="both"/>
        <w:rPr>
          <w:rFonts w:ascii="Arial" w:hAnsi="Arial" w:cs="Arial"/>
          <w:color w:val="000000"/>
        </w:rPr>
      </w:pPr>
    </w:p>
    <w:p w14:paraId="57CCF1BE" w14:textId="7259A37B" w:rsidR="00C60C1A" w:rsidRPr="007F03BF" w:rsidRDefault="00C60C1A" w:rsidP="00C60C1A">
      <w:pPr>
        <w:spacing w:before="100" w:beforeAutospacing="1" w:after="100" w:afterAutospacing="1" w:line="360" w:lineRule="auto"/>
        <w:contextualSpacing/>
        <w:jc w:val="both"/>
        <w:rPr>
          <w:rFonts w:ascii="Arial" w:hAnsi="Arial" w:cs="Arial"/>
          <w:color w:val="000000"/>
        </w:rPr>
      </w:pPr>
      <w:r w:rsidRPr="007F03BF">
        <w:rPr>
          <w:rFonts w:ascii="Arial" w:hAnsi="Arial" w:cs="Arial"/>
        </w:rPr>
        <w:t xml:space="preserve">En atención a la Tabla de Aplicabilidad realizada por la </w:t>
      </w:r>
      <w:r w:rsidR="000E5534" w:rsidRPr="007F03BF">
        <w:rPr>
          <w:rFonts w:ascii="Arial" w:hAnsi="Arial" w:cs="Arial"/>
        </w:rPr>
        <w:t xml:space="preserve">Dirección </w:t>
      </w:r>
      <w:r w:rsidRPr="007F03BF">
        <w:rPr>
          <w:rFonts w:ascii="Arial" w:hAnsi="Arial" w:cs="Arial"/>
        </w:rPr>
        <w:t>del Instituto, las obligaciones que los</w:t>
      </w:r>
      <w:r w:rsidR="00E55AB5" w:rsidRPr="007F03BF">
        <w:rPr>
          <w:rFonts w:ascii="Arial" w:hAnsi="Arial" w:cs="Arial"/>
        </w:rPr>
        <w:t xml:space="preserve"> Órganos Autónomos</w:t>
      </w:r>
      <w:r w:rsidRPr="007F03BF">
        <w:rPr>
          <w:rFonts w:ascii="Arial" w:hAnsi="Arial" w:cs="Arial"/>
        </w:rPr>
        <w:t xml:space="preserve"> deben actualizar y publicar en el SIPOT de la PNT, así como en sus respectivos portales de internet son las contempladas en los siguientes artículos: </w:t>
      </w:r>
    </w:p>
    <w:p w14:paraId="6C62FD75" w14:textId="77777777" w:rsidR="00C60C1A" w:rsidRPr="007F03BF"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121. Obligaciones comunes, </w:t>
      </w:r>
    </w:p>
    <w:p w14:paraId="2CA25FE0" w14:textId="77777777" w:rsidR="00C60C1A" w:rsidRPr="007F03BF"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Artículo 133. Obligaciones Específicas del Instituto de Transparencia, Acceso a la Información Pública, Protección de Datos Personales y Rendición de Cuentas de la Ciudad de México,</w:t>
      </w:r>
    </w:p>
    <w:p w14:paraId="6C44DD47" w14:textId="77777777" w:rsidR="00C60C1A" w:rsidRPr="007F03BF"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145. Disposiciones Particulares, </w:t>
      </w:r>
    </w:p>
    <w:p w14:paraId="28E9E2E2" w14:textId="77777777" w:rsidR="00C60C1A" w:rsidRPr="007F03BF"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146. Disposiciones Particulares, </w:t>
      </w:r>
    </w:p>
    <w:p w14:paraId="2FB1B5C5" w14:textId="77777777" w:rsidR="00C60C1A" w:rsidRPr="007F03BF" w:rsidRDefault="00C60C1A" w:rsidP="00FF7BD9">
      <w:pPr>
        <w:pStyle w:val="Prrafodelista"/>
        <w:numPr>
          <w:ilvl w:val="0"/>
          <w:numId w:val="14"/>
        </w:numPr>
        <w:spacing w:before="100" w:beforeAutospacing="1" w:after="100" w:afterAutospacing="1" w:line="360" w:lineRule="auto"/>
        <w:ind w:left="851"/>
        <w:jc w:val="both"/>
        <w:rPr>
          <w:rFonts w:ascii="Arial" w:hAnsi="Arial" w:cs="Arial"/>
          <w:sz w:val="24"/>
          <w:szCs w:val="24"/>
        </w:rPr>
      </w:pPr>
      <w:r w:rsidRPr="007F03BF">
        <w:rPr>
          <w:rFonts w:ascii="Arial" w:hAnsi="Arial" w:cs="Arial"/>
          <w:sz w:val="24"/>
          <w:szCs w:val="24"/>
        </w:rPr>
        <w:t xml:space="preserve">Artículo 147. Disposiciones Particulares. </w:t>
      </w:r>
    </w:p>
    <w:p w14:paraId="4F970CD9" w14:textId="77777777" w:rsidR="00C60C1A" w:rsidRPr="007F03BF" w:rsidRDefault="00C60C1A" w:rsidP="00FF7BD9">
      <w:pPr>
        <w:pStyle w:val="Ttulo2"/>
        <w:contextualSpacing/>
        <w:jc w:val="both"/>
        <w:rPr>
          <w:rFonts w:ascii="Arial" w:hAnsi="Arial" w:cs="Arial"/>
          <w:b/>
          <w:color w:val="auto"/>
          <w:sz w:val="24"/>
          <w:szCs w:val="24"/>
        </w:rPr>
      </w:pPr>
      <w:bookmarkStart w:id="22" w:name="_Toc39684004"/>
      <w:r w:rsidRPr="007F03BF">
        <w:rPr>
          <w:rFonts w:ascii="Arial" w:hAnsi="Arial" w:cs="Arial"/>
          <w:b/>
          <w:color w:val="auto"/>
          <w:sz w:val="24"/>
          <w:szCs w:val="24"/>
        </w:rPr>
        <w:t>Análisis global de cumplimiento de</w:t>
      </w:r>
      <w:r w:rsidR="0007356A" w:rsidRPr="007F03BF">
        <w:rPr>
          <w:rFonts w:ascii="Arial" w:hAnsi="Arial" w:cs="Arial"/>
          <w:b/>
          <w:color w:val="auto"/>
          <w:sz w:val="24"/>
          <w:szCs w:val="24"/>
        </w:rPr>
        <w:t xml:space="preserve"> los Órganos Autónomos</w:t>
      </w:r>
      <w:bookmarkEnd w:id="22"/>
    </w:p>
    <w:p w14:paraId="70D4C934" w14:textId="77777777" w:rsidR="00C60C1A" w:rsidRPr="007F03BF" w:rsidRDefault="00C60C1A" w:rsidP="00C60C1A">
      <w:pPr>
        <w:rPr>
          <w:rFonts w:ascii="Arial" w:hAnsi="Arial" w:cs="Arial"/>
        </w:rPr>
      </w:pPr>
    </w:p>
    <w:p w14:paraId="2E37D112" w14:textId="77777777" w:rsidR="00C60C1A" w:rsidRPr="007F03BF" w:rsidRDefault="00C60C1A" w:rsidP="00C60C1A">
      <w:pPr>
        <w:spacing w:before="100" w:beforeAutospacing="1" w:after="100" w:afterAutospacing="1" w:line="360" w:lineRule="auto"/>
        <w:contextualSpacing/>
        <w:jc w:val="both"/>
        <w:rPr>
          <w:rFonts w:ascii="Arial" w:hAnsi="Arial" w:cs="Arial"/>
          <w:u w:val="single"/>
        </w:rPr>
      </w:pPr>
      <w:r w:rsidRPr="007F03BF">
        <w:rPr>
          <w:rFonts w:ascii="Arial" w:hAnsi="Arial" w:cs="Arial"/>
          <w:u w:val="single"/>
        </w:rPr>
        <w:t>Índices Globales de Cumplimiento de las obligaciones de transparencia</w:t>
      </w:r>
    </w:p>
    <w:p w14:paraId="2E5C58B6" w14:textId="77777777" w:rsidR="00C60C1A" w:rsidRPr="007F03BF" w:rsidRDefault="00C60C1A" w:rsidP="00C60C1A">
      <w:pPr>
        <w:spacing w:before="100" w:beforeAutospacing="1" w:after="100" w:afterAutospacing="1" w:line="360" w:lineRule="auto"/>
        <w:contextualSpacing/>
        <w:jc w:val="both"/>
        <w:rPr>
          <w:rFonts w:ascii="Arial" w:hAnsi="Arial" w:cs="Arial"/>
        </w:rPr>
      </w:pPr>
    </w:p>
    <w:p w14:paraId="27C4084C" w14:textId="77777777" w:rsidR="00C60C1A" w:rsidRPr="007F03BF" w:rsidRDefault="00C60C1A" w:rsidP="00C60C1A">
      <w:pPr>
        <w:spacing w:before="100" w:beforeAutospacing="1" w:after="100" w:afterAutospacing="1" w:line="360" w:lineRule="auto"/>
        <w:contextualSpacing/>
        <w:jc w:val="both"/>
        <w:rPr>
          <w:rFonts w:ascii="Arial" w:hAnsi="Arial" w:cs="Arial"/>
        </w:rPr>
      </w:pPr>
      <w:r w:rsidRPr="007F03BF">
        <w:rPr>
          <w:rFonts w:ascii="Arial" w:hAnsi="Arial" w:cs="Arial"/>
        </w:rPr>
        <w:t>El ámbito de los Órganos Autónomos obtuvo un IGOT de 9</w:t>
      </w:r>
      <w:r w:rsidR="00C5337D" w:rsidRPr="007F03BF">
        <w:rPr>
          <w:rFonts w:ascii="Arial" w:hAnsi="Arial" w:cs="Arial"/>
        </w:rPr>
        <w:t>8</w:t>
      </w:r>
      <w:r w:rsidRPr="007F03BF">
        <w:rPr>
          <w:rFonts w:ascii="Arial" w:hAnsi="Arial" w:cs="Arial"/>
        </w:rPr>
        <w:t>.</w:t>
      </w:r>
      <w:r w:rsidR="00C5337D" w:rsidRPr="007F03BF">
        <w:rPr>
          <w:rFonts w:ascii="Arial" w:hAnsi="Arial" w:cs="Arial"/>
        </w:rPr>
        <w:t>34</w:t>
      </w:r>
      <w:r w:rsidRPr="007F03BF">
        <w:rPr>
          <w:rFonts w:ascii="Arial" w:hAnsi="Arial" w:cs="Arial"/>
        </w:rPr>
        <w:t>%, el cual está compuesto por un índice de 9</w:t>
      </w:r>
      <w:r w:rsidR="00C5337D" w:rsidRPr="007F03BF">
        <w:rPr>
          <w:rFonts w:ascii="Arial" w:hAnsi="Arial" w:cs="Arial"/>
        </w:rPr>
        <w:t>7.91</w:t>
      </w:r>
      <w:r w:rsidRPr="007F03BF">
        <w:rPr>
          <w:rFonts w:ascii="Arial" w:hAnsi="Arial" w:cs="Arial"/>
        </w:rPr>
        <w:t>% en lo que corresponde a la Plataforma Nacional de Transparencia (PNT) y un índice de 9</w:t>
      </w:r>
      <w:r w:rsidR="00C5337D" w:rsidRPr="007F03BF">
        <w:rPr>
          <w:rFonts w:ascii="Arial" w:hAnsi="Arial" w:cs="Arial"/>
        </w:rPr>
        <w:t>8.78</w:t>
      </w:r>
      <w:r w:rsidRPr="007F03BF">
        <w:rPr>
          <w:rFonts w:ascii="Arial" w:hAnsi="Arial" w:cs="Arial"/>
        </w:rPr>
        <w:t>% en lo que se refiere al Portal de Transparencia (</w:t>
      </w:r>
      <w:r w:rsidR="00677E37" w:rsidRPr="007F03BF">
        <w:rPr>
          <w:rFonts w:ascii="Arial" w:hAnsi="Arial" w:cs="Arial"/>
        </w:rPr>
        <w:t>PI</w:t>
      </w:r>
      <w:r w:rsidRPr="007F03BF">
        <w:rPr>
          <w:rFonts w:ascii="Arial" w:hAnsi="Arial" w:cs="Arial"/>
        </w:rPr>
        <w:t>).</w:t>
      </w:r>
    </w:p>
    <w:p w14:paraId="267F1EB5" w14:textId="77777777" w:rsidR="00C60C1A" w:rsidRPr="007F03BF" w:rsidRDefault="00C60C1A" w:rsidP="00C60C1A">
      <w:pPr>
        <w:spacing w:before="100" w:beforeAutospacing="1" w:after="100" w:afterAutospacing="1" w:line="360" w:lineRule="auto"/>
        <w:contextualSpacing/>
        <w:jc w:val="both"/>
        <w:rPr>
          <w:rFonts w:ascii="Arial" w:hAnsi="Arial" w:cs="Arial"/>
        </w:rPr>
      </w:pPr>
    </w:p>
    <w:p w14:paraId="75C9CA16" w14:textId="77777777" w:rsidR="00C60C1A" w:rsidRPr="007F03BF" w:rsidRDefault="00C5337D" w:rsidP="00C60C1A">
      <w:pPr>
        <w:spacing w:before="100" w:beforeAutospacing="1" w:after="100" w:afterAutospacing="1" w:line="360" w:lineRule="auto"/>
        <w:contextualSpacing/>
        <w:jc w:val="both"/>
        <w:rPr>
          <w:rFonts w:ascii="Arial" w:hAnsi="Arial" w:cs="Arial"/>
        </w:rPr>
      </w:pPr>
      <w:r w:rsidRPr="007F03BF">
        <w:rPr>
          <w:rFonts w:ascii="Arial" w:hAnsi="Arial" w:cs="Arial"/>
        </w:rPr>
        <w:t>El Instituto de Transparencia de la Ciudad de México atendió</w:t>
      </w:r>
      <w:r w:rsidR="00D0295D" w:rsidRPr="007F03BF">
        <w:rPr>
          <w:rFonts w:ascii="Arial" w:hAnsi="Arial" w:cs="Arial"/>
        </w:rPr>
        <w:t xml:space="preserve"> las recomendaciones; no obstante, persisten áreas de oportunidad por lo que se encuentra en un cumplimiento parcial con un IGOT superior a 90</w:t>
      </w:r>
      <w:r w:rsidRPr="007F03BF">
        <w:rPr>
          <w:rFonts w:ascii="Arial" w:hAnsi="Arial" w:cs="Arial"/>
        </w:rPr>
        <w:t xml:space="preserve">%. </w:t>
      </w:r>
    </w:p>
    <w:p w14:paraId="595AA102" w14:textId="77777777" w:rsidR="00C5337D" w:rsidRPr="007F03BF" w:rsidRDefault="00C5337D" w:rsidP="00C60C1A">
      <w:pPr>
        <w:spacing w:before="100" w:beforeAutospacing="1" w:after="100" w:afterAutospacing="1" w:line="360" w:lineRule="auto"/>
        <w:contextualSpacing/>
        <w:jc w:val="both"/>
        <w:rPr>
          <w:rFonts w:ascii="Arial" w:hAnsi="Arial" w:cs="Arial"/>
        </w:rPr>
      </w:pPr>
    </w:p>
    <w:p w14:paraId="04DF9CAD" w14:textId="0922F3B2" w:rsidR="00C60C1A" w:rsidRPr="007F03BF" w:rsidRDefault="00C60C1A" w:rsidP="00C60C1A">
      <w:pPr>
        <w:spacing w:before="100" w:beforeAutospacing="1" w:after="100" w:afterAutospacing="1" w:line="360" w:lineRule="auto"/>
        <w:contextualSpacing/>
        <w:jc w:val="both"/>
        <w:rPr>
          <w:rFonts w:ascii="Arial" w:hAnsi="Arial" w:cs="Arial"/>
        </w:rPr>
      </w:pPr>
      <w:r w:rsidRPr="007F03BF">
        <w:rPr>
          <w:rFonts w:ascii="Arial" w:hAnsi="Arial" w:cs="Arial"/>
        </w:rPr>
        <w:t xml:space="preserve">Con relación a la </w:t>
      </w:r>
      <w:r w:rsidR="00C5337D" w:rsidRPr="007F03BF">
        <w:rPr>
          <w:rFonts w:ascii="Arial" w:hAnsi="Arial" w:cs="Arial"/>
        </w:rPr>
        <w:t>Segunda</w:t>
      </w:r>
      <w:r w:rsidRPr="007F03BF">
        <w:rPr>
          <w:rFonts w:ascii="Arial" w:hAnsi="Arial" w:cs="Arial"/>
        </w:rPr>
        <w:t xml:space="preserve"> Evaluación Vinculante 2019, este ámbito tuvo un </w:t>
      </w:r>
      <w:r w:rsidR="00D0295D" w:rsidRPr="007F03BF">
        <w:rPr>
          <w:rFonts w:ascii="Arial" w:hAnsi="Arial" w:cs="Arial"/>
        </w:rPr>
        <w:t>incremento</w:t>
      </w:r>
      <w:r w:rsidRPr="007F03BF">
        <w:rPr>
          <w:rFonts w:ascii="Arial" w:hAnsi="Arial" w:cs="Arial"/>
        </w:rPr>
        <w:t xml:space="preserve">, puesto que pasó de tener un IGOT de </w:t>
      </w:r>
      <w:r w:rsidR="00C5337D" w:rsidRPr="007F03BF">
        <w:rPr>
          <w:rFonts w:ascii="Arial" w:hAnsi="Arial" w:cs="Arial"/>
        </w:rPr>
        <w:t>96.24</w:t>
      </w:r>
      <w:r w:rsidRPr="007F03BF">
        <w:rPr>
          <w:rFonts w:ascii="Arial" w:hAnsi="Arial" w:cs="Arial"/>
        </w:rPr>
        <w:t xml:space="preserve">% a uno de </w:t>
      </w:r>
      <w:r w:rsidR="00D0295D" w:rsidRPr="007F03BF">
        <w:rPr>
          <w:rFonts w:ascii="Arial" w:hAnsi="Arial" w:cs="Arial"/>
        </w:rPr>
        <w:t>9</w:t>
      </w:r>
      <w:r w:rsidR="00C5337D" w:rsidRPr="007F03BF">
        <w:rPr>
          <w:rFonts w:ascii="Arial" w:hAnsi="Arial" w:cs="Arial"/>
        </w:rPr>
        <w:t>8.34</w:t>
      </w:r>
      <w:r w:rsidRPr="007F03BF">
        <w:rPr>
          <w:rFonts w:ascii="Arial" w:hAnsi="Arial" w:cs="Arial"/>
        </w:rPr>
        <w:t xml:space="preserve">%; por lo </w:t>
      </w:r>
      <w:r w:rsidRPr="007F03BF">
        <w:rPr>
          <w:rFonts w:ascii="Arial" w:hAnsi="Arial" w:cs="Arial"/>
        </w:rPr>
        <w:lastRenderedPageBreak/>
        <w:t xml:space="preserve">que se encuentra en un </w:t>
      </w:r>
      <w:r w:rsidR="00D0295D" w:rsidRPr="007F03BF">
        <w:rPr>
          <w:rFonts w:ascii="Arial" w:hAnsi="Arial" w:cs="Arial"/>
        </w:rPr>
        <w:t>cumplimiento</w:t>
      </w:r>
      <w:r w:rsidRPr="007F03BF">
        <w:rPr>
          <w:rFonts w:ascii="Arial" w:hAnsi="Arial" w:cs="Arial"/>
        </w:rPr>
        <w:t xml:space="preserve"> parcial de las obligaciones de transparencia de la Ley de Transparencia </w:t>
      </w:r>
      <w:r w:rsidR="00D47F3C" w:rsidRPr="007F03BF">
        <w:rPr>
          <w:rFonts w:ascii="Arial" w:hAnsi="Arial" w:cs="Arial"/>
        </w:rPr>
        <w:t>local</w:t>
      </w:r>
      <w:r w:rsidRPr="007F03BF">
        <w:rPr>
          <w:rFonts w:ascii="Arial" w:hAnsi="Arial" w:cs="Arial"/>
        </w:rPr>
        <w:t xml:space="preserve">. Este ámbito tuvo un </w:t>
      </w:r>
      <w:r w:rsidR="00D0295D" w:rsidRPr="007F03BF">
        <w:rPr>
          <w:rFonts w:ascii="Arial" w:hAnsi="Arial" w:cs="Arial"/>
        </w:rPr>
        <w:t>incremento</w:t>
      </w:r>
      <w:r w:rsidRPr="007F03BF">
        <w:rPr>
          <w:rFonts w:ascii="Arial" w:hAnsi="Arial" w:cs="Arial"/>
        </w:rPr>
        <w:t xml:space="preserve"> de </w:t>
      </w:r>
      <w:r w:rsidR="00C5337D" w:rsidRPr="007F03BF">
        <w:rPr>
          <w:rFonts w:ascii="Arial" w:hAnsi="Arial" w:cs="Arial"/>
        </w:rPr>
        <w:t>2.1 puntos</w:t>
      </w:r>
      <w:r w:rsidRPr="007F03BF">
        <w:rPr>
          <w:rFonts w:ascii="Arial" w:hAnsi="Arial" w:cs="Arial"/>
        </w:rPr>
        <w:t xml:space="preserve"> dentro de su índice. </w:t>
      </w:r>
    </w:p>
    <w:p w14:paraId="118A4F40" w14:textId="77777777" w:rsidR="00C60C1A" w:rsidRPr="007F03BF" w:rsidRDefault="00C60C1A" w:rsidP="00C60C1A">
      <w:pPr>
        <w:spacing w:before="100" w:beforeAutospacing="1" w:after="100" w:afterAutospacing="1" w:line="360" w:lineRule="auto"/>
        <w:contextualSpacing/>
        <w:jc w:val="both"/>
        <w:rPr>
          <w:rFonts w:ascii="Arial" w:hAnsi="Arial" w:cs="Arial"/>
        </w:rPr>
      </w:pPr>
    </w:p>
    <w:p w14:paraId="020EF8C9" w14:textId="77777777" w:rsidR="00C60C1A" w:rsidRPr="007F03BF" w:rsidRDefault="00C60C1A" w:rsidP="00C60C1A">
      <w:pPr>
        <w:spacing w:before="100" w:beforeAutospacing="1" w:after="100" w:afterAutospacing="1" w:line="360" w:lineRule="auto"/>
        <w:contextualSpacing/>
        <w:jc w:val="both"/>
        <w:rPr>
          <w:rFonts w:ascii="Arial" w:hAnsi="Arial" w:cs="Arial"/>
          <w:u w:val="single"/>
        </w:rPr>
      </w:pPr>
      <w:r w:rsidRPr="007F03BF">
        <w:rPr>
          <w:rFonts w:ascii="Arial" w:hAnsi="Arial" w:cs="Arial"/>
          <w:u w:val="single"/>
        </w:rPr>
        <w:t xml:space="preserve">Cumplimiento diferenciado por artículos </w:t>
      </w:r>
    </w:p>
    <w:p w14:paraId="136AE2C8" w14:textId="77777777" w:rsidR="00C60C1A" w:rsidRPr="007F03BF" w:rsidRDefault="00C60C1A" w:rsidP="00C60C1A">
      <w:pPr>
        <w:spacing w:before="100" w:beforeAutospacing="1" w:after="100" w:afterAutospacing="1" w:line="360" w:lineRule="auto"/>
        <w:contextualSpacing/>
        <w:jc w:val="both"/>
        <w:rPr>
          <w:rFonts w:ascii="Arial" w:hAnsi="Arial" w:cs="Arial"/>
          <w:u w:val="single"/>
        </w:rPr>
      </w:pPr>
    </w:p>
    <w:p w14:paraId="068AC923" w14:textId="77777777" w:rsidR="00C60C1A" w:rsidRPr="007F03BF" w:rsidRDefault="00C60C1A" w:rsidP="00C60C1A">
      <w:pPr>
        <w:spacing w:before="100" w:beforeAutospacing="1" w:after="100" w:afterAutospacing="1" w:line="360" w:lineRule="auto"/>
        <w:contextualSpacing/>
        <w:jc w:val="both"/>
        <w:rPr>
          <w:rFonts w:ascii="Arial" w:hAnsi="Arial" w:cs="Arial"/>
        </w:rPr>
      </w:pPr>
      <w:r w:rsidRPr="007F03BF">
        <w:rPr>
          <w:rFonts w:ascii="Arial" w:hAnsi="Arial" w:cs="Arial"/>
        </w:rPr>
        <w:t>Con relación al tipo de obligaciones de transparencia, este ámbito ha cumplido parcialmente c</w:t>
      </w:r>
      <w:r w:rsidR="00D0295D" w:rsidRPr="007F03BF">
        <w:rPr>
          <w:rFonts w:ascii="Arial" w:hAnsi="Arial" w:cs="Arial"/>
        </w:rPr>
        <w:t>on sus obligaciones comunes, específicas y disposiciones particulares</w:t>
      </w:r>
      <w:r w:rsidRPr="007F03BF">
        <w:rPr>
          <w:rFonts w:ascii="Arial" w:hAnsi="Arial" w:cs="Arial"/>
        </w:rPr>
        <w:t xml:space="preserve">, obteniendo un ICP de </w:t>
      </w:r>
      <w:r w:rsidR="00C36EEB" w:rsidRPr="007F03BF">
        <w:rPr>
          <w:rFonts w:ascii="Arial" w:hAnsi="Arial" w:cs="Arial"/>
        </w:rPr>
        <w:t>9</w:t>
      </w:r>
      <w:r w:rsidR="00C5337D" w:rsidRPr="007F03BF">
        <w:rPr>
          <w:rFonts w:ascii="Arial" w:hAnsi="Arial" w:cs="Arial"/>
        </w:rPr>
        <w:t>7.54</w:t>
      </w:r>
      <w:r w:rsidRPr="007F03BF">
        <w:rPr>
          <w:rFonts w:ascii="Arial" w:hAnsi="Arial" w:cs="Arial"/>
        </w:rPr>
        <w:t>%</w:t>
      </w:r>
      <w:r w:rsidR="00C36EEB" w:rsidRPr="007F03BF">
        <w:rPr>
          <w:rFonts w:ascii="Arial" w:hAnsi="Arial" w:cs="Arial"/>
        </w:rPr>
        <w:t xml:space="preserve">, </w:t>
      </w:r>
      <w:r w:rsidR="00C5337D" w:rsidRPr="007F03BF">
        <w:rPr>
          <w:rFonts w:ascii="Arial" w:hAnsi="Arial" w:cs="Arial"/>
        </w:rPr>
        <w:t>99.11%</w:t>
      </w:r>
      <w:r w:rsidR="00C36EEB" w:rsidRPr="007F03BF">
        <w:rPr>
          <w:rFonts w:ascii="Arial" w:hAnsi="Arial" w:cs="Arial"/>
        </w:rPr>
        <w:t xml:space="preserve"> y </w:t>
      </w:r>
      <w:r w:rsidR="00C5337D" w:rsidRPr="007F03BF">
        <w:rPr>
          <w:rFonts w:ascii="Arial" w:hAnsi="Arial" w:cs="Arial"/>
        </w:rPr>
        <w:t>100</w:t>
      </w:r>
      <w:r w:rsidRPr="007F03BF">
        <w:rPr>
          <w:rFonts w:ascii="Arial" w:hAnsi="Arial" w:cs="Arial"/>
        </w:rPr>
        <w:t xml:space="preserve">%, respectivamente. </w:t>
      </w:r>
    </w:p>
    <w:p w14:paraId="1552E9DB" w14:textId="77777777" w:rsidR="00C60C1A" w:rsidRPr="007F03BF" w:rsidRDefault="00C60C1A" w:rsidP="00C60C1A">
      <w:pPr>
        <w:spacing w:before="100" w:beforeAutospacing="1" w:after="100" w:afterAutospacing="1" w:line="360" w:lineRule="auto"/>
        <w:contextualSpacing/>
        <w:jc w:val="both"/>
        <w:rPr>
          <w:rFonts w:ascii="Arial" w:hAnsi="Arial" w:cs="Arial"/>
        </w:rPr>
      </w:pPr>
    </w:p>
    <w:p w14:paraId="28E23B7F" w14:textId="77777777" w:rsidR="00C60C1A" w:rsidRPr="007F03BF" w:rsidRDefault="00C60C1A" w:rsidP="00C60C1A">
      <w:pPr>
        <w:spacing w:before="100" w:beforeAutospacing="1" w:after="100" w:afterAutospacing="1" w:line="360" w:lineRule="auto"/>
        <w:contextualSpacing/>
        <w:jc w:val="both"/>
        <w:rPr>
          <w:rFonts w:ascii="Arial" w:hAnsi="Arial" w:cs="Arial"/>
        </w:rPr>
      </w:pPr>
      <w:r w:rsidRPr="007F03BF">
        <w:rPr>
          <w:rFonts w:ascii="Arial" w:hAnsi="Arial" w:cs="Arial"/>
        </w:rPr>
        <w:t xml:space="preserve">En esta misma línea, por artículo obtuvieron los siguientes índices con relación a la Primera Evaluación Vinculante: </w:t>
      </w:r>
    </w:p>
    <w:tbl>
      <w:tblPr>
        <w:tblStyle w:val="Tablaconcuadrcula"/>
        <w:tblW w:w="0" w:type="auto"/>
        <w:tblLook w:val="04A0" w:firstRow="1" w:lastRow="0" w:firstColumn="1" w:lastColumn="0" w:noHBand="0" w:noVBand="1"/>
      </w:tblPr>
      <w:tblGrid>
        <w:gridCol w:w="3659"/>
        <w:gridCol w:w="2148"/>
        <w:gridCol w:w="2092"/>
        <w:gridCol w:w="12"/>
        <w:gridCol w:w="908"/>
      </w:tblGrid>
      <w:tr w:rsidR="00B2542B" w:rsidRPr="007F03BF" w14:paraId="0DCC608A" w14:textId="77777777" w:rsidTr="008C4FD7">
        <w:tc>
          <w:tcPr>
            <w:tcW w:w="3659" w:type="dxa"/>
            <w:shd w:val="clear" w:color="auto" w:fill="70AD47" w:themeFill="accent6"/>
            <w:vAlign w:val="center"/>
          </w:tcPr>
          <w:p w14:paraId="0A112ED0" w14:textId="77777777"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Artículo</w:t>
            </w:r>
          </w:p>
        </w:tc>
        <w:tc>
          <w:tcPr>
            <w:tcW w:w="2148" w:type="dxa"/>
            <w:shd w:val="clear" w:color="auto" w:fill="70AD47" w:themeFill="accent6"/>
            <w:vAlign w:val="center"/>
          </w:tcPr>
          <w:p w14:paraId="503D9377" w14:textId="18092A9F"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ICP – 2ª Evaluación 20</w:t>
            </w:r>
            <w:r w:rsidR="00D47F3C" w:rsidRPr="007F03BF">
              <w:rPr>
                <w:rFonts w:ascii="Arial" w:hAnsi="Arial" w:cs="Arial"/>
                <w:b/>
                <w:bCs/>
                <w:color w:val="000000" w:themeColor="text1"/>
                <w:sz w:val="20"/>
                <w:szCs w:val="20"/>
              </w:rPr>
              <w:t>19</w:t>
            </w:r>
          </w:p>
        </w:tc>
        <w:tc>
          <w:tcPr>
            <w:tcW w:w="2092" w:type="dxa"/>
            <w:shd w:val="clear" w:color="auto" w:fill="70AD47" w:themeFill="accent6"/>
            <w:vAlign w:val="center"/>
          </w:tcPr>
          <w:p w14:paraId="654F1505" w14:textId="11CC0D05"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ICP – 1ª Evaluación 20</w:t>
            </w:r>
            <w:r w:rsidR="00D47F3C" w:rsidRPr="007F03BF">
              <w:rPr>
                <w:rFonts w:ascii="Arial" w:hAnsi="Arial" w:cs="Arial"/>
                <w:b/>
                <w:bCs/>
                <w:color w:val="000000" w:themeColor="text1"/>
                <w:sz w:val="20"/>
                <w:szCs w:val="20"/>
              </w:rPr>
              <w:t>20</w:t>
            </w:r>
          </w:p>
        </w:tc>
        <w:tc>
          <w:tcPr>
            <w:tcW w:w="920" w:type="dxa"/>
            <w:gridSpan w:val="2"/>
            <w:shd w:val="clear" w:color="auto" w:fill="70AD47" w:themeFill="accent6"/>
            <w:vAlign w:val="center"/>
          </w:tcPr>
          <w:p w14:paraId="25E64406" w14:textId="77777777"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C5337D" w:rsidRPr="007F03BF" w14:paraId="4FA77FD9" w14:textId="77777777" w:rsidTr="00C5337D">
        <w:tc>
          <w:tcPr>
            <w:tcW w:w="3659" w:type="dxa"/>
          </w:tcPr>
          <w:p w14:paraId="74A0571C" w14:textId="77777777" w:rsidR="00C5337D" w:rsidRPr="007F03BF" w:rsidRDefault="00C5337D" w:rsidP="00C5337D">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121 – Obligaciones Comunes</w:t>
            </w:r>
          </w:p>
        </w:tc>
        <w:tc>
          <w:tcPr>
            <w:tcW w:w="2148" w:type="dxa"/>
            <w:vAlign w:val="center"/>
          </w:tcPr>
          <w:p w14:paraId="463ACA3A" w14:textId="77777777" w:rsidR="00C5337D" w:rsidRPr="007F03BF" w:rsidRDefault="00C5337D" w:rsidP="00C5337D">
            <w:pPr>
              <w:jc w:val="center"/>
              <w:rPr>
                <w:rFonts w:ascii="Arial" w:hAnsi="Arial" w:cs="Arial"/>
                <w:color w:val="000000"/>
                <w:sz w:val="20"/>
                <w:szCs w:val="20"/>
              </w:rPr>
            </w:pPr>
            <w:r w:rsidRPr="007F03BF">
              <w:rPr>
                <w:rFonts w:ascii="Arial" w:hAnsi="Arial" w:cs="Arial"/>
                <w:color w:val="000000"/>
                <w:sz w:val="20"/>
                <w:szCs w:val="20"/>
              </w:rPr>
              <w:t>96.</w:t>
            </w:r>
            <w:r w:rsidR="003B3986" w:rsidRPr="007F03BF">
              <w:rPr>
                <w:rFonts w:ascii="Arial" w:hAnsi="Arial" w:cs="Arial"/>
                <w:color w:val="000000"/>
                <w:sz w:val="20"/>
                <w:szCs w:val="20"/>
              </w:rPr>
              <w:t>5</w:t>
            </w:r>
          </w:p>
        </w:tc>
        <w:tc>
          <w:tcPr>
            <w:tcW w:w="2104" w:type="dxa"/>
            <w:gridSpan w:val="2"/>
            <w:vAlign w:val="center"/>
          </w:tcPr>
          <w:p w14:paraId="586CF30D" w14:textId="77777777" w:rsidR="00C5337D" w:rsidRPr="007F03BF" w:rsidRDefault="00C5337D" w:rsidP="00C5337D">
            <w:pPr>
              <w:jc w:val="center"/>
              <w:rPr>
                <w:rFonts w:ascii="Arial" w:hAnsi="Arial" w:cs="Arial"/>
                <w:color w:val="000000"/>
                <w:sz w:val="20"/>
                <w:szCs w:val="20"/>
              </w:rPr>
            </w:pPr>
            <w:r w:rsidRPr="007F03BF">
              <w:rPr>
                <w:rFonts w:ascii="Arial" w:hAnsi="Arial" w:cs="Arial"/>
                <w:color w:val="000000"/>
                <w:sz w:val="20"/>
                <w:szCs w:val="20"/>
              </w:rPr>
              <w:t>97.5</w:t>
            </w:r>
          </w:p>
        </w:tc>
        <w:tc>
          <w:tcPr>
            <w:tcW w:w="908" w:type="dxa"/>
            <w:vAlign w:val="center"/>
          </w:tcPr>
          <w:p w14:paraId="66B52DB6" w14:textId="77777777" w:rsidR="00C5337D" w:rsidRPr="007F03BF" w:rsidRDefault="00C5337D" w:rsidP="00C5337D">
            <w:pPr>
              <w:jc w:val="center"/>
              <w:rPr>
                <w:rFonts w:ascii="Arial" w:hAnsi="Arial" w:cs="Arial"/>
                <w:color w:val="000000"/>
                <w:sz w:val="20"/>
                <w:szCs w:val="20"/>
              </w:rPr>
            </w:pPr>
            <w:r w:rsidRPr="007F03BF">
              <w:rPr>
                <w:rFonts w:ascii="Arial" w:hAnsi="Arial" w:cs="Arial"/>
                <w:color w:val="000000"/>
                <w:sz w:val="20"/>
                <w:szCs w:val="20"/>
              </w:rPr>
              <w:t>1</w:t>
            </w:r>
          </w:p>
        </w:tc>
      </w:tr>
      <w:tr w:rsidR="00C5337D" w:rsidRPr="007F03BF" w14:paraId="0880E738" w14:textId="77777777" w:rsidTr="00C5337D">
        <w:tc>
          <w:tcPr>
            <w:tcW w:w="3659" w:type="dxa"/>
          </w:tcPr>
          <w:p w14:paraId="67E094C7" w14:textId="77777777" w:rsidR="00C5337D" w:rsidRPr="007F03BF" w:rsidRDefault="00C5337D" w:rsidP="00C5337D">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133 – Obligaciones Específicas de Instituto de Transparencia</w:t>
            </w:r>
          </w:p>
        </w:tc>
        <w:tc>
          <w:tcPr>
            <w:tcW w:w="2148" w:type="dxa"/>
            <w:vAlign w:val="center"/>
          </w:tcPr>
          <w:p w14:paraId="2DB8742E" w14:textId="77777777" w:rsidR="00C5337D" w:rsidRPr="007F03BF" w:rsidRDefault="00C5337D" w:rsidP="00C5337D">
            <w:pPr>
              <w:jc w:val="center"/>
              <w:rPr>
                <w:rFonts w:ascii="Arial" w:hAnsi="Arial" w:cs="Arial"/>
                <w:color w:val="000000"/>
                <w:sz w:val="20"/>
                <w:szCs w:val="20"/>
              </w:rPr>
            </w:pPr>
            <w:r w:rsidRPr="007F03BF">
              <w:rPr>
                <w:rFonts w:ascii="Arial" w:hAnsi="Arial" w:cs="Arial"/>
                <w:color w:val="000000"/>
                <w:sz w:val="20"/>
                <w:szCs w:val="20"/>
              </w:rPr>
              <w:t>91.72</w:t>
            </w:r>
          </w:p>
        </w:tc>
        <w:tc>
          <w:tcPr>
            <w:tcW w:w="2104" w:type="dxa"/>
            <w:gridSpan w:val="2"/>
            <w:vAlign w:val="center"/>
          </w:tcPr>
          <w:p w14:paraId="184DD30B" w14:textId="77777777" w:rsidR="00C5337D" w:rsidRPr="007F03BF" w:rsidRDefault="00C5337D" w:rsidP="00C5337D">
            <w:pPr>
              <w:jc w:val="center"/>
              <w:rPr>
                <w:rFonts w:ascii="Arial" w:hAnsi="Arial" w:cs="Arial"/>
                <w:color w:val="000000"/>
                <w:sz w:val="20"/>
                <w:szCs w:val="20"/>
              </w:rPr>
            </w:pPr>
            <w:r w:rsidRPr="007F03BF">
              <w:rPr>
                <w:rFonts w:ascii="Arial" w:hAnsi="Arial" w:cs="Arial"/>
                <w:color w:val="000000"/>
                <w:sz w:val="20"/>
                <w:szCs w:val="20"/>
              </w:rPr>
              <w:t>99.1</w:t>
            </w:r>
          </w:p>
        </w:tc>
        <w:tc>
          <w:tcPr>
            <w:tcW w:w="908" w:type="dxa"/>
            <w:vAlign w:val="center"/>
          </w:tcPr>
          <w:p w14:paraId="7CA607A9" w14:textId="77777777" w:rsidR="00C5337D" w:rsidRPr="007F03BF" w:rsidRDefault="00C5337D" w:rsidP="00C5337D">
            <w:pPr>
              <w:jc w:val="center"/>
              <w:rPr>
                <w:rFonts w:ascii="Arial" w:hAnsi="Arial" w:cs="Arial"/>
                <w:color w:val="000000"/>
                <w:sz w:val="20"/>
                <w:szCs w:val="20"/>
              </w:rPr>
            </w:pPr>
            <w:r w:rsidRPr="007F03BF">
              <w:rPr>
                <w:rFonts w:ascii="Arial" w:hAnsi="Arial" w:cs="Arial"/>
                <w:color w:val="000000"/>
                <w:sz w:val="20"/>
                <w:szCs w:val="20"/>
              </w:rPr>
              <w:t>7.4</w:t>
            </w:r>
          </w:p>
        </w:tc>
      </w:tr>
      <w:tr w:rsidR="00C5337D" w:rsidRPr="007F03BF" w14:paraId="185221A1" w14:textId="77777777" w:rsidTr="00C5337D">
        <w:tc>
          <w:tcPr>
            <w:tcW w:w="3659" w:type="dxa"/>
          </w:tcPr>
          <w:p w14:paraId="5432F688" w14:textId="77777777" w:rsidR="00C5337D" w:rsidRPr="007F03BF" w:rsidRDefault="00C5337D" w:rsidP="00C5337D">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145 – Portal de Transparencia</w:t>
            </w:r>
          </w:p>
        </w:tc>
        <w:tc>
          <w:tcPr>
            <w:tcW w:w="2148" w:type="dxa"/>
            <w:vAlign w:val="center"/>
          </w:tcPr>
          <w:p w14:paraId="4228992C" w14:textId="77777777" w:rsidR="00C5337D" w:rsidRPr="007F03BF" w:rsidRDefault="00C5337D" w:rsidP="00C5337D">
            <w:pPr>
              <w:jc w:val="center"/>
              <w:rPr>
                <w:rFonts w:ascii="Arial" w:hAnsi="Arial" w:cs="Arial"/>
                <w:color w:val="000000"/>
                <w:sz w:val="20"/>
                <w:szCs w:val="20"/>
              </w:rPr>
            </w:pPr>
            <w:r w:rsidRPr="007F03BF">
              <w:rPr>
                <w:rFonts w:ascii="Arial" w:hAnsi="Arial" w:cs="Arial"/>
                <w:color w:val="000000"/>
                <w:sz w:val="20"/>
                <w:szCs w:val="20"/>
              </w:rPr>
              <w:t>100</w:t>
            </w:r>
          </w:p>
        </w:tc>
        <w:tc>
          <w:tcPr>
            <w:tcW w:w="2104" w:type="dxa"/>
            <w:gridSpan w:val="2"/>
            <w:vAlign w:val="center"/>
          </w:tcPr>
          <w:p w14:paraId="2A88F7B1" w14:textId="77777777" w:rsidR="00C5337D" w:rsidRPr="007F03BF" w:rsidRDefault="00C5337D" w:rsidP="00C5337D">
            <w:pPr>
              <w:jc w:val="center"/>
              <w:rPr>
                <w:rFonts w:ascii="Arial" w:hAnsi="Arial" w:cs="Arial"/>
                <w:color w:val="000000"/>
                <w:sz w:val="20"/>
                <w:szCs w:val="20"/>
              </w:rPr>
            </w:pPr>
            <w:r w:rsidRPr="007F03BF">
              <w:rPr>
                <w:rFonts w:ascii="Arial" w:hAnsi="Arial" w:cs="Arial"/>
                <w:color w:val="000000"/>
                <w:sz w:val="20"/>
                <w:szCs w:val="20"/>
              </w:rPr>
              <w:t>100</w:t>
            </w:r>
          </w:p>
        </w:tc>
        <w:tc>
          <w:tcPr>
            <w:tcW w:w="908" w:type="dxa"/>
            <w:vAlign w:val="center"/>
          </w:tcPr>
          <w:p w14:paraId="6392F872" w14:textId="77777777" w:rsidR="00C5337D" w:rsidRPr="007F03BF" w:rsidRDefault="003B3986" w:rsidP="00C5337D">
            <w:pPr>
              <w:jc w:val="center"/>
              <w:rPr>
                <w:rFonts w:ascii="Arial" w:hAnsi="Arial" w:cs="Arial"/>
                <w:color w:val="000000"/>
                <w:sz w:val="20"/>
                <w:szCs w:val="20"/>
              </w:rPr>
            </w:pPr>
            <w:r w:rsidRPr="007F03BF">
              <w:rPr>
                <w:rFonts w:ascii="Arial" w:hAnsi="Arial" w:cs="Arial"/>
                <w:color w:val="000000"/>
                <w:sz w:val="20"/>
                <w:szCs w:val="20"/>
              </w:rPr>
              <w:t>-</w:t>
            </w:r>
          </w:p>
        </w:tc>
      </w:tr>
      <w:tr w:rsidR="00C5337D" w:rsidRPr="007F03BF" w14:paraId="1A6A6753" w14:textId="77777777" w:rsidTr="00C5337D">
        <w:tc>
          <w:tcPr>
            <w:tcW w:w="3659" w:type="dxa"/>
          </w:tcPr>
          <w:p w14:paraId="21E0ECC4" w14:textId="77777777" w:rsidR="00C5337D" w:rsidRPr="007F03BF" w:rsidRDefault="00C5337D" w:rsidP="00C5337D">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146 – Calendario de actualización</w:t>
            </w:r>
          </w:p>
        </w:tc>
        <w:tc>
          <w:tcPr>
            <w:tcW w:w="2148" w:type="dxa"/>
            <w:vAlign w:val="center"/>
          </w:tcPr>
          <w:p w14:paraId="4CE7D56C" w14:textId="77777777" w:rsidR="00C5337D" w:rsidRPr="007F03BF" w:rsidRDefault="00C5337D" w:rsidP="00C5337D">
            <w:pPr>
              <w:jc w:val="center"/>
              <w:rPr>
                <w:rFonts w:ascii="Arial" w:hAnsi="Arial" w:cs="Arial"/>
                <w:color w:val="000000"/>
                <w:sz w:val="20"/>
                <w:szCs w:val="20"/>
              </w:rPr>
            </w:pPr>
            <w:r w:rsidRPr="007F03BF">
              <w:rPr>
                <w:rFonts w:ascii="Arial" w:hAnsi="Arial" w:cs="Arial"/>
                <w:color w:val="000000"/>
                <w:sz w:val="20"/>
                <w:szCs w:val="20"/>
              </w:rPr>
              <w:t>100</w:t>
            </w:r>
          </w:p>
        </w:tc>
        <w:tc>
          <w:tcPr>
            <w:tcW w:w="2104" w:type="dxa"/>
            <w:gridSpan w:val="2"/>
            <w:vAlign w:val="center"/>
          </w:tcPr>
          <w:p w14:paraId="74F36F3E" w14:textId="77777777" w:rsidR="00C5337D" w:rsidRPr="007F03BF" w:rsidRDefault="00C5337D" w:rsidP="00C5337D">
            <w:pPr>
              <w:jc w:val="center"/>
              <w:rPr>
                <w:rFonts w:ascii="Arial" w:hAnsi="Arial" w:cs="Arial"/>
                <w:color w:val="000000"/>
                <w:sz w:val="20"/>
                <w:szCs w:val="20"/>
              </w:rPr>
            </w:pPr>
            <w:r w:rsidRPr="007F03BF">
              <w:rPr>
                <w:rFonts w:ascii="Arial" w:hAnsi="Arial" w:cs="Arial"/>
                <w:color w:val="000000"/>
                <w:sz w:val="20"/>
                <w:szCs w:val="20"/>
              </w:rPr>
              <w:t>100</w:t>
            </w:r>
          </w:p>
        </w:tc>
        <w:tc>
          <w:tcPr>
            <w:tcW w:w="908" w:type="dxa"/>
            <w:vAlign w:val="center"/>
          </w:tcPr>
          <w:p w14:paraId="39FF83A7" w14:textId="77777777" w:rsidR="00C5337D" w:rsidRPr="007F03BF" w:rsidRDefault="003B3986" w:rsidP="00C5337D">
            <w:pPr>
              <w:jc w:val="center"/>
              <w:rPr>
                <w:rFonts w:ascii="Arial" w:hAnsi="Arial" w:cs="Arial"/>
                <w:color w:val="000000"/>
                <w:sz w:val="20"/>
                <w:szCs w:val="20"/>
              </w:rPr>
            </w:pPr>
            <w:r w:rsidRPr="007F03BF">
              <w:rPr>
                <w:rFonts w:ascii="Arial" w:hAnsi="Arial" w:cs="Arial"/>
                <w:color w:val="000000"/>
                <w:sz w:val="20"/>
                <w:szCs w:val="20"/>
              </w:rPr>
              <w:t>-</w:t>
            </w:r>
          </w:p>
        </w:tc>
      </w:tr>
      <w:tr w:rsidR="00C5337D" w:rsidRPr="007F03BF" w14:paraId="160A0675" w14:textId="77777777" w:rsidTr="00C5337D">
        <w:tc>
          <w:tcPr>
            <w:tcW w:w="3659" w:type="dxa"/>
          </w:tcPr>
          <w:p w14:paraId="7F0AA3D4" w14:textId="77777777" w:rsidR="00C5337D" w:rsidRPr="007F03BF" w:rsidRDefault="00C5337D" w:rsidP="00C5337D">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 xml:space="preserve">147 – Informes respecto de recursos otorgados por el sujeto obligado a terceros </w:t>
            </w:r>
          </w:p>
        </w:tc>
        <w:tc>
          <w:tcPr>
            <w:tcW w:w="2148" w:type="dxa"/>
            <w:vAlign w:val="center"/>
          </w:tcPr>
          <w:p w14:paraId="563C038F" w14:textId="77777777" w:rsidR="00C5337D" w:rsidRPr="007F03BF" w:rsidRDefault="00C5337D" w:rsidP="00C5337D">
            <w:pPr>
              <w:jc w:val="center"/>
              <w:rPr>
                <w:rFonts w:ascii="Arial" w:hAnsi="Arial" w:cs="Arial"/>
                <w:color w:val="000000"/>
                <w:sz w:val="20"/>
                <w:szCs w:val="20"/>
              </w:rPr>
            </w:pPr>
            <w:r w:rsidRPr="007F03BF">
              <w:rPr>
                <w:rFonts w:ascii="Arial" w:hAnsi="Arial" w:cs="Arial"/>
                <w:color w:val="000000"/>
                <w:sz w:val="20"/>
                <w:szCs w:val="20"/>
              </w:rPr>
              <w:t>100</w:t>
            </w:r>
          </w:p>
        </w:tc>
        <w:tc>
          <w:tcPr>
            <w:tcW w:w="2104" w:type="dxa"/>
            <w:gridSpan w:val="2"/>
            <w:vAlign w:val="center"/>
          </w:tcPr>
          <w:p w14:paraId="5761756A" w14:textId="77777777" w:rsidR="00C5337D" w:rsidRPr="007F03BF" w:rsidRDefault="00C5337D" w:rsidP="00C5337D">
            <w:pPr>
              <w:jc w:val="center"/>
              <w:rPr>
                <w:rFonts w:ascii="Arial" w:hAnsi="Arial" w:cs="Arial"/>
                <w:color w:val="000000"/>
                <w:sz w:val="20"/>
                <w:szCs w:val="20"/>
              </w:rPr>
            </w:pPr>
            <w:r w:rsidRPr="007F03BF">
              <w:rPr>
                <w:rFonts w:ascii="Arial" w:hAnsi="Arial" w:cs="Arial"/>
                <w:color w:val="000000"/>
                <w:sz w:val="20"/>
                <w:szCs w:val="20"/>
              </w:rPr>
              <w:t>100</w:t>
            </w:r>
          </w:p>
        </w:tc>
        <w:tc>
          <w:tcPr>
            <w:tcW w:w="908" w:type="dxa"/>
            <w:vAlign w:val="center"/>
          </w:tcPr>
          <w:p w14:paraId="50E255FF" w14:textId="77777777" w:rsidR="00C5337D" w:rsidRPr="007F03BF" w:rsidRDefault="003B3986" w:rsidP="00C5337D">
            <w:pPr>
              <w:jc w:val="center"/>
              <w:rPr>
                <w:rFonts w:ascii="Arial" w:hAnsi="Arial" w:cs="Arial"/>
                <w:color w:val="000000"/>
                <w:sz w:val="20"/>
                <w:szCs w:val="20"/>
              </w:rPr>
            </w:pPr>
            <w:r w:rsidRPr="007F03BF">
              <w:rPr>
                <w:rFonts w:ascii="Arial" w:hAnsi="Arial" w:cs="Arial"/>
                <w:color w:val="000000"/>
                <w:sz w:val="20"/>
                <w:szCs w:val="20"/>
              </w:rPr>
              <w:t>-</w:t>
            </w:r>
          </w:p>
        </w:tc>
      </w:tr>
    </w:tbl>
    <w:p w14:paraId="19A682C9" w14:textId="77777777" w:rsidR="00C60C1A" w:rsidRPr="007F03BF" w:rsidRDefault="00C60C1A" w:rsidP="00C60C1A">
      <w:pPr>
        <w:spacing w:before="100" w:beforeAutospacing="1" w:after="100" w:afterAutospacing="1" w:line="360" w:lineRule="auto"/>
        <w:contextualSpacing/>
        <w:jc w:val="both"/>
        <w:rPr>
          <w:rFonts w:ascii="Arial" w:hAnsi="Arial" w:cs="Arial"/>
        </w:rPr>
      </w:pPr>
    </w:p>
    <w:p w14:paraId="23F4090D" w14:textId="77777777" w:rsidR="00AD68DB" w:rsidRPr="007F03BF" w:rsidRDefault="00AD68DB" w:rsidP="00C60C1A">
      <w:pPr>
        <w:spacing w:before="100" w:beforeAutospacing="1" w:after="100" w:afterAutospacing="1" w:line="360" w:lineRule="auto"/>
        <w:contextualSpacing/>
        <w:jc w:val="both"/>
        <w:rPr>
          <w:rFonts w:ascii="Arial" w:hAnsi="Arial" w:cs="Arial"/>
        </w:rPr>
      </w:pPr>
      <w:r w:rsidRPr="007F03BF">
        <w:rPr>
          <w:rFonts w:ascii="Arial" w:hAnsi="Arial" w:cs="Arial"/>
        </w:rPr>
        <w:t>Del comparativo anteriormente plasmado, se puede apreciar que este ámbito tuvo un incremento de su índice en todas las obligaciones que le son aplicables</w:t>
      </w:r>
      <w:r w:rsidR="00B05CE7" w:rsidRPr="007F03BF">
        <w:rPr>
          <w:rFonts w:ascii="Arial" w:hAnsi="Arial" w:cs="Arial"/>
        </w:rPr>
        <w:t>.</w:t>
      </w:r>
      <w:r w:rsidRPr="007F03BF">
        <w:rPr>
          <w:rFonts w:ascii="Arial" w:hAnsi="Arial" w:cs="Arial"/>
        </w:rPr>
        <w:t xml:space="preserve"> </w:t>
      </w:r>
    </w:p>
    <w:p w14:paraId="640BFBC1" w14:textId="77777777" w:rsidR="00AD68DB" w:rsidRPr="007F03BF" w:rsidRDefault="00AD68DB" w:rsidP="00C60C1A">
      <w:pPr>
        <w:spacing w:before="100" w:beforeAutospacing="1" w:after="100" w:afterAutospacing="1" w:line="360" w:lineRule="auto"/>
        <w:contextualSpacing/>
        <w:jc w:val="both"/>
        <w:rPr>
          <w:rFonts w:ascii="Arial" w:hAnsi="Arial" w:cs="Arial"/>
        </w:rPr>
      </w:pPr>
    </w:p>
    <w:p w14:paraId="3AC6189E" w14:textId="77777777" w:rsidR="00AD68DB" w:rsidRPr="007F03BF" w:rsidRDefault="00AD68DB" w:rsidP="00C60C1A">
      <w:pPr>
        <w:spacing w:before="100" w:beforeAutospacing="1" w:after="100" w:afterAutospacing="1" w:line="360" w:lineRule="auto"/>
        <w:contextualSpacing/>
        <w:jc w:val="both"/>
        <w:rPr>
          <w:rFonts w:ascii="Arial" w:hAnsi="Arial" w:cs="Arial"/>
        </w:rPr>
      </w:pPr>
      <w:r w:rsidRPr="007F03BF">
        <w:rPr>
          <w:rFonts w:ascii="Arial" w:hAnsi="Arial" w:cs="Arial"/>
        </w:rPr>
        <w:t>En lo que respecta a las obligaciones comunes</w:t>
      </w:r>
      <w:r w:rsidR="003B3986" w:rsidRPr="007F03BF">
        <w:rPr>
          <w:rFonts w:ascii="Arial" w:hAnsi="Arial" w:cs="Arial"/>
        </w:rPr>
        <w:t>, aumentó un punto su índice, pasando de 96.5% a 97.5%</w:t>
      </w:r>
      <w:r w:rsidRPr="007F03BF">
        <w:rPr>
          <w:rFonts w:ascii="Arial" w:hAnsi="Arial" w:cs="Arial"/>
        </w:rPr>
        <w:t xml:space="preserve"> y </w:t>
      </w:r>
      <w:r w:rsidR="003B3986" w:rsidRPr="007F03BF">
        <w:rPr>
          <w:rFonts w:ascii="Arial" w:hAnsi="Arial" w:cs="Arial"/>
        </w:rPr>
        <w:t xml:space="preserve">respecto de las obligaciones particulares, pasó de un ICOT de 91.72% a 99.1%, aumentando 7.4 puntos. Los artículos correspondientes a las disposiciones particulares se mantuvieron con el cumplimiento de total. </w:t>
      </w:r>
    </w:p>
    <w:p w14:paraId="5CAB48C0" w14:textId="77777777" w:rsidR="00920167" w:rsidRPr="007F03BF" w:rsidRDefault="00920167" w:rsidP="00C60C1A">
      <w:pPr>
        <w:spacing w:before="100" w:beforeAutospacing="1" w:after="100" w:afterAutospacing="1" w:line="360" w:lineRule="auto"/>
        <w:contextualSpacing/>
        <w:jc w:val="both"/>
        <w:rPr>
          <w:rFonts w:ascii="Arial" w:hAnsi="Arial" w:cs="Arial"/>
        </w:rPr>
      </w:pPr>
    </w:p>
    <w:p w14:paraId="3212E869" w14:textId="77777777" w:rsidR="00C60C1A" w:rsidRPr="007F03BF" w:rsidRDefault="00C60C1A" w:rsidP="00C60C1A">
      <w:pPr>
        <w:spacing w:before="100" w:beforeAutospacing="1" w:after="100" w:afterAutospacing="1" w:line="360" w:lineRule="auto"/>
        <w:contextualSpacing/>
        <w:jc w:val="both"/>
        <w:rPr>
          <w:rFonts w:ascii="Arial" w:hAnsi="Arial" w:cs="Arial"/>
        </w:rPr>
      </w:pPr>
      <w:r w:rsidRPr="007F03BF">
        <w:rPr>
          <w:rFonts w:ascii="Arial" w:hAnsi="Arial" w:cs="Arial"/>
        </w:rPr>
        <w:lastRenderedPageBreak/>
        <w:t xml:space="preserve">El ámbito de </w:t>
      </w:r>
      <w:r w:rsidR="00920167" w:rsidRPr="007F03BF">
        <w:rPr>
          <w:rFonts w:ascii="Arial" w:hAnsi="Arial" w:cs="Arial"/>
        </w:rPr>
        <w:t>Órganos Autónomos</w:t>
      </w:r>
      <w:r w:rsidRPr="007F03BF">
        <w:rPr>
          <w:rFonts w:ascii="Arial" w:hAnsi="Arial" w:cs="Arial"/>
        </w:rPr>
        <w:t xml:space="preserve"> obtuvo un </w:t>
      </w:r>
      <w:r w:rsidR="00920167" w:rsidRPr="007F03BF">
        <w:rPr>
          <w:rFonts w:ascii="Arial" w:hAnsi="Arial" w:cs="Arial"/>
        </w:rPr>
        <w:t>incremento</w:t>
      </w:r>
      <w:r w:rsidRPr="007F03BF">
        <w:rPr>
          <w:rFonts w:ascii="Arial" w:hAnsi="Arial" w:cs="Arial"/>
        </w:rPr>
        <w:t xml:space="preserve"> promedio</w:t>
      </w:r>
      <w:r w:rsidR="00920167" w:rsidRPr="007F03BF">
        <w:rPr>
          <w:rFonts w:ascii="Arial" w:hAnsi="Arial" w:cs="Arial"/>
        </w:rPr>
        <w:t xml:space="preserve"> </w:t>
      </w:r>
      <w:r w:rsidRPr="007F03BF">
        <w:rPr>
          <w:rFonts w:ascii="Arial" w:hAnsi="Arial" w:cs="Arial"/>
        </w:rPr>
        <w:t>en su índice</w:t>
      </w:r>
      <w:r w:rsidR="00920167" w:rsidRPr="007F03BF">
        <w:rPr>
          <w:rFonts w:ascii="Arial" w:hAnsi="Arial" w:cs="Arial"/>
        </w:rPr>
        <w:t xml:space="preserve"> por artículo</w:t>
      </w:r>
      <w:r w:rsidRPr="007F03BF">
        <w:rPr>
          <w:rFonts w:ascii="Arial" w:hAnsi="Arial" w:cs="Arial"/>
        </w:rPr>
        <w:t xml:space="preserve"> de </w:t>
      </w:r>
      <w:r w:rsidR="003B3986" w:rsidRPr="007F03BF">
        <w:rPr>
          <w:rFonts w:ascii="Arial" w:hAnsi="Arial" w:cs="Arial"/>
        </w:rPr>
        <w:t>4.2</w:t>
      </w:r>
      <w:r w:rsidR="00900995" w:rsidRPr="007F03BF">
        <w:rPr>
          <w:rFonts w:ascii="Arial" w:hAnsi="Arial" w:cs="Arial"/>
        </w:rPr>
        <w:t xml:space="preserve"> puntos.</w:t>
      </w:r>
    </w:p>
    <w:p w14:paraId="1A6AC4E3" w14:textId="77777777" w:rsidR="00C60C1A" w:rsidRPr="007F03BF" w:rsidRDefault="00C60C1A" w:rsidP="00C60C1A">
      <w:pPr>
        <w:spacing w:before="100" w:beforeAutospacing="1" w:after="100" w:afterAutospacing="1" w:line="360" w:lineRule="auto"/>
        <w:contextualSpacing/>
        <w:jc w:val="both"/>
        <w:rPr>
          <w:rFonts w:ascii="Arial" w:hAnsi="Arial" w:cs="Arial"/>
        </w:rPr>
      </w:pPr>
    </w:p>
    <w:p w14:paraId="0D0FE98C" w14:textId="77777777" w:rsidR="00C60C1A" w:rsidRPr="007F03BF" w:rsidRDefault="00C60C1A" w:rsidP="00C60C1A">
      <w:pPr>
        <w:spacing w:before="100" w:beforeAutospacing="1" w:after="100" w:afterAutospacing="1" w:line="360" w:lineRule="auto"/>
        <w:contextualSpacing/>
        <w:jc w:val="both"/>
        <w:rPr>
          <w:rFonts w:ascii="Arial" w:hAnsi="Arial" w:cs="Arial"/>
          <w:b/>
          <w:bCs/>
        </w:rPr>
      </w:pPr>
      <w:r w:rsidRPr="007F03BF">
        <w:rPr>
          <w:rFonts w:ascii="Arial" w:hAnsi="Arial" w:cs="Arial"/>
          <w:b/>
          <w:bCs/>
        </w:rPr>
        <w:t xml:space="preserve">Comparativo de índices entre la </w:t>
      </w:r>
      <w:r w:rsidR="00B2542B" w:rsidRPr="007F03BF">
        <w:rPr>
          <w:rFonts w:ascii="Arial" w:hAnsi="Arial" w:cs="Arial"/>
          <w:b/>
          <w:bCs/>
        </w:rPr>
        <w:t>Primera</w:t>
      </w:r>
      <w:r w:rsidRPr="007F03BF">
        <w:rPr>
          <w:rFonts w:ascii="Arial" w:hAnsi="Arial" w:cs="Arial"/>
          <w:b/>
          <w:bCs/>
        </w:rPr>
        <w:t xml:space="preserve"> Evaluación Vinculante 20</w:t>
      </w:r>
      <w:r w:rsidR="003B3986" w:rsidRPr="007F03BF">
        <w:rPr>
          <w:rFonts w:ascii="Arial" w:hAnsi="Arial" w:cs="Arial"/>
          <w:b/>
          <w:bCs/>
        </w:rPr>
        <w:t>20</w:t>
      </w:r>
      <w:r w:rsidRPr="007F03BF">
        <w:rPr>
          <w:rFonts w:ascii="Arial" w:hAnsi="Arial" w:cs="Arial"/>
          <w:b/>
          <w:bCs/>
        </w:rPr>
        <w:t xml:space="preserve"> y la</w:t>
      </w:r>
      <w:r w:rsidR="003B3986" w:rsidRPr="007F03BF">
        <w:rPr>
          <w:rFonts w:ascii="Arial" w:hAnsi="Arial" w:cs="Arial"/>
          <w:b/>
          <w:bCs/>
        </w:rPr>
        <w:t xml:space="preserve"> Segunda</w:t>
      </w:r>
      <w:r w:rsidRPr="007F03BF">
        <w:rPr>
          <w:rFonts w:ascii="Arial" w:hAnsi="Arial" w:cs="Arial"/>
          <w:b/>
          <w:bCs/>
        </w:rPr>
        <w:t xml:space="preserve"> Evaluación Vinculante 2019</w:t>
      </w:r>
    </w:p>
    <w:tbl>
      <w:tblPr>
        <w:tblW w:w="9067" w:type="dxa"/>
        <w:tblLayout w:type="fixed"/>
        <w:tblCellMar>
          <w:left w:w="70" w:type="dxa"/>
          <w:right w:w="70" w:type="dxa"/>
        </w:tblCellMar>
        <w:tblLook w:val="04A0" w:firstRow="1" w:lastRow="0" w:firstColumn="1" w:lastColumn="0" w:noHBand="0" w:noVBand="1"/>
      </w:tblPr>
      <w:tblGrid>
        <w:gridCol w:w="463"/>
        <w:gridCol w:w="4210"/>
        <w:gridCol w:w="1701"/>
        <w:gridCol w:w="1703"/>
        <w:gridCol w:w="990"/>
      </w:tblGrid>
      <w:tr w:rsidR="00C60C1A" w:rsidRPr="007F03BF" w14:paraId="4D877D98" w14:textId="77777777" w:rsidTr="008C4FD7">
        <w:trPr>
          <w:trHeight w:val="860"/>
          <w:tblHeader/>
        </w:trPr>
        <w:tc>
          <w:tcPr>
            <w:tcW w:w="9067"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367F525D" w14:textId="77777777" w:rsidR="00C60C1A" w:rsidRPr="007F03BF" w:rsidRDefault="00C60C1A" w:rsidP="00C60C1A">
            <w:pPr>
              <w:jc w:val="center"/>
              <w:rPr>
                <w:rFonts w:ascii="Arial" w:hAnsi="Arial" w:cs="Arial"/>
                <w:b/>
                <w:bCs/>
                <w:color w:val="000000"/>
                <w:sz w:val="20"/>
                <w:szCs w:val="20"/>
              </w:rPr>
            </w:pPr>
            <w:r w:rsidRPr="007F03BF">
              <w:rPr>
                <w:rFonts w:ascii="Arial" w:hAnsi="Arial" w:cs="Arial"/>
                <w:b/>
                <w:bCs/>
                <w:color w:val="000000"/>
                <w:sz w:val="20"/>
                <w:szCs w:val="20"/>
              </w:rPr>
              <w:t xml:space="preserve">Resultados de la </w:t>
            </w:r>
            <w:r w:rsidR="00B2542B" w:rsidRPr="007F03BF">
              <w:rPr>
                <w:rFonts w:ascii="Arial" w:hAnsi="Arial" w:cs="Arial"/>
                <w:b/>
                <w:bCs/>
                <w:color w:val="000000"/>
                <w:sz w:val="20"/>
                <w:szCs w:val="20"/>
              </w:rPr>
              <w:t>Primera</w:t>
            </w:r>
            <w:r w:rsidRPr="007F03BF">
              <w:rPr>
                <w:rFonts w:ascii="Arial" w:hAnsi="Arial" w:cs="Arial"/>
                <w:b/>
                <w:bCs/>
                <w:color w:val="000000"/>
                <w:sz w:val="20"/>
                <w:szCs w:val="20"/>
              </w:rPr>
              <w:t xml:space="preserve"> Evaluación Vinculante 20</w:t>
            </w:r>
            <w:r w:rsidR="00B2542B" w:rsidRPr="007F03BF">
              <w:rPr>
                <w:rFonts w:ascii="Arial" w:hAnsi="Arial" w:cs="Arial"/>
                <w:b/>
                <w:bCs/>
                <w:color w:val="000000"/>
                <w:sz w:val="20"/>
                <w:szCs w:val="20"/>
              </w:rPr>
              <w:t>20</w:t>
            </w:r>
            <w:r w:rsidRPr="007F03BF">
              <w:rPr>
                <w:rFonts w:ascii="Arial" w:hAnsi="Arial" w:cs="Arial"/>
                <w:b/>
                <w:bCs/>
                <w:color w:val="000000"/>
                <w:sz w:val="20"/>
                <w:szCs w:val="20"/>
              </w:rPr>
              <w:t xml:space="preserve">, respecto de las recomendaciones y observaciones de la </w:t>
            </w:r>
            <w:r w:rsidR="00B2542B" w:rsidRPr="007F03BF">
              <w:rPr>
                <w:rFonts w:ascii="Arial" w:hAnsi="Arial" w:cs="Arial"/>
                <w:b/>
                <w:bCs/>
                <w:color w:val="000000"/>
                <w:sz w:val="20"/>
                <w:szCs w:val="20"/>
              </w:rPr>
              <w:t>Segunda</w:t>
            </w:r>
            <w:r w:rsidRPr="007F03BF">
              <w:rPr>
                <w:rFonts w:ascii="Arial" w:hAnsi="Arial" w:cs="Arial"/>
                <w:b/>
                <w:bCs/>
                <w:color w:val="000000"/>
                <w:sz w:val="20"/>
                <w:szCs w:val="20"/>
              </w:rPr>
              <w:t xml:space="preserve"> Evaluación Vinculante 2019</w:t>
            </w:r>
          </w:p>
        </w:tc>
      </w:tr>
      <w:tr w:rsidR="003B3986" w:rsidRPr="007F03BF" w14:paraId="1ADA993E" w14:textId="77777777" w:rsidTr="008C4FD7">
        <w:trPr>
          <w:trHeight w:val="340"/>
          <w:tblHeader/>
        </w:trPr>
        <w:tc>
          <w:tcPr>
            <w:tcW w:w="463" w:type="dxa"/>
            <w:tcBorders>
              <w:top w:val="nil"/>
              <w:left w:val="single" w:sz="4" w:space="0" w:color="auto"/>
              <w:bottom w:val="single" w:sz="4" w:space="0" w:color="auto"/>
              <w:right w:val="single" w:sz="4" w:space="0" w:color="auto"/>
            </w:tcBorders>
            <w:shd w:val="clear" w:color="auto" w:fill="70AD47" w:themeFill="accent6"/>
            <w:vAlign w:val="center"/>
            <w:hideMark/>
          </w:tcPr>
          <w:p w14:paraId="61EA18D1" w14:textId="77777777" w:rsidR="003B3986" w:rsidRPr="007F03BF" w:rsidRDefault="003B3986" w:rsidP="003B3986">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No.</w:t>
            </w:r>
          </w:p>
        </w:tc>
        <w:tc>
          <w:tcPr>
            <w:tcW w:w="4210" w:type="dxa"/>
            <w:tcBorders>
              <w:top w:val="nil"/>
              <w:left w:val="nil"/>
              <w:bottom w:val="single" w:sz="4" w:space="0" w:color="auto"/>
              <w:right w:val="single" w:sz="4" w:space="0" w:color="auto"/>
            </w:tcBorders>
            <w:shd w:val="clear" w:color="auto" w:fill="70AD47" w:themeFill="accent6"/>
            <w:vAlign w:val="center"/>
            <w:hideMark/>
          </w:tcPr>
          <w:p w14:paraId="6CC6F9A4" w14:textId="77777777" w:rsidR="003B3986" w:rsidRPr="007F03BF" w:rsidRDefault="003B3986" w:rsidP="003B3986">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Sujeto obligado</w:t>
            </w:r>
          </w:p>
        </w:tc>
        <w:tc>
          <w:tcPr>
            <w:tcW w:w="1701" w:type="dxa"/>
            <w:tcBorders>
              <w:top w:val="nil"/>
              <w:left w:val="nil"/>
              <w:bottom w:val="single" w:sz="4" w:space="0" w:color="auto"/>
              <w:right w:val="single" w:sz="4" w:space="0" w:color="auto"/>
            </w:tcBorders>
            <w:shd w:val="clear" w:color="auto" w:fill="70AD47" w:themeFill="accent6"/>
            <w:vAlign w:val="center"/>
            <w:hideMark/>
          </w:tcPr>
          <w:p w14:paraId="2864021D" w14:textId="77777777" w:rsidR="003B3986" w:rsidRPr="007F03BF" w:rsidRDefault="003B3986" w:rsidP="003B3986">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2a Evaluación Vinculante 2019</w:t>
            </w:r>
          </w:p>
        </w:tc>
        <w:tc>
          <w:tcPr>
            <w:tcW w:w="1703" w:type="dxa"/>
            <w:tcBorders>
              <w:top w:val="nil"/>
              <w:left w:val="nil"/>
              <w:bottom w:val="single" w:sz="4" w:space="0" w:color="auto"/>
              <w:right w:val="single" w:sz="4" w:space="0" w:color="auto"/>
            </w:tcBorders>
            <w:shd w:val="clear" w:color="auto" w:fill="70AD47" w:themeFill="accent6"/>
            <w:vAlign w:val="center"/>
            <w:hideMark/>
          </w:tcPr>
          <w:p w14:paraId="1FB1DDFE" w14:textId="77777777" w:rsidR="003B3986" w:rsidRPr="007F03BF" w:rsidRDefault="003B3986" w:rsidP="003B3986">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1a Evaluación Vinculante 2020</w:t>
            </w:r>
          </w:p>
        </w:tc>
        <w:tc>
          <w:tcPr>
            <w:tcW w:w="990" w:type="dxa"/>
            <w:tcBorders>
              <w:top w:val="nil"/>
              <w:left w:val="nil"/>
              <w:bottom w:val="single" w:sz="4" w:space="0" w:color="auto"/>
              <w:right w:val="single" w:sz="4" w:space="0" w:color="auto"/>
            </w:tcBorders>
            <w:shd w:val="clear" w:color="auto" w:fill="70AD47" w:themeFill="accent6"/>
            <w:vAlign w:val="center"/>
            <w:hideMark/>
          </w:tcPr>
          <w:p w14:paraId="059E0962" w14:textId="77777777" w:rsidR="003B3986" w:rsidRPr="007F03BF" w:rsidRDefault="003B3986" w:rsidP="003B3986">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920167" w:rsidRPr="007F03BF" w14:paraId="0415139F" w14:textId="77777777" w:rsidTr="003B3986">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4F35B28B" w14:textId="77777777" w:rsidR="00920167" w:rsidRPr="007F03BF" w:rsidRDefault="003B3986" w:rsidP="00920167">
            <w:pPr>
              <w:jc w:val="center"/>
              <w:rPr>
                <w:rFonts w:ascii="Arial" w:hAnsi="Arial" w:cs="Arial"/>
                <w:color w:val="000000"/>
                <w:sz w:val="20"/>
                <w:szCs w:val="20"/>
              </w:rPr>
            </w:pPr>
            <w:r w:rsidRPr="007F03BF">
              <w:rPr>
                <w:rFonts w:ascii="Arial" w:hAnsi="Arial" w:cs="Arial"/>
                <w:color w:val="000000"/>
                <w:sz w:val="20"/>
                <w:szCs w:val="20"/>
              </w:rPr>
              <w:t>1</w:t>
            </w:r>
          </w:p>
        </w:tc>
        <w:tc>
          <w:tcPr>
            <w:tcW w:w="4210" w:type="dxa"/>
            <w:tcBorders>
              <w:top w:val="nil"/>
              <w:left w:val="nil"/>
              <w:bottom w:val="single" w:sz="4" w:space="0" w:color="auto"/>
              <w:right w:val="single" w:sz="4" w:space="0" w:color="auto"/>
            </w:tcBorders>
            <w:shd w:val="clear" w:color="auto" w:fill="auto"/>
            <w:vAlign w:val="center"/>
            <w:hideMark/>
          </w:tcPr>
          <w:p w14:paraId="5A0F6239" w14:textId="77777777" w:rsidR="00920167" w:rsidRPr="007F03BF" w:rsidRDefault="00920167" w:rsidP="00920167">
            <w:pPr>
              <w:rPr>
                <w:rFonts w:ascii="Arial" w:hAnsi="Arial" w:cs="Arial"/>
                <w:color w:val="000000"/>
                <w:sz w:val="20"/>
                <w:szCs w:val="20"/>
              </w:rPr>
            </w:pPr>
            <w:r w:rsidRPr="007F03BF">
              <w:rPr>
                <w:rFonts w:ascii="Arial" w:hAnsi="Arial" w:cs="Arial"/>
                <w:color w:val="000000"/>
                <w:sz w:val="20"/>
                <w:szCs w:val="20"/>
              </w:rPr>
              <w:t>Instituto de Transparencia, Acceso a la Información Pública, Protección de Datos Personales y Rendición de Cuentas de la Ciudad de México</w:t>
            </w:r>
          </w:p>
        </w:tc>
        <w:tc>
          <w:tcPr>
            <w:tcW w:w="1701" w:type="dxa"/>
            <w:tcBorders>
              <w:top w:val="nil"/>
              <w:left w:val="nil"/>
              <w:bottom w:val="single" w:sz="4" w:space="0" w:color="auto"/>
              <w:right w:val="single" w:sz="4" w:space="0" w:color="auto"/>
            </w:tcBorders>
            <w:shd w:val="clear" w:color="auto" w:fill="auto"/>
            <w:vAlign w:val="center"/>
            <w:hideMark/>
          </w:tcPr>
          <w:p w14:paraId="1B381BD8" w14:textId="77777777" w:rsidR="00920167" w:rsidRPr="007F03BF" w:rsidRDefault="00920167" w:rsidP="00920167">
            <w:pPr>
              <w:jc w:val="center"/>
              <w:rPr>
                <w:rFonts w:ascii="Arial" w:hAnsi="Arial" w:cs="Arial"/>
                <w:color w:val="000000"/>
                <w:sz w:val="20"/>
                <w:szCs w:val="20"/>
              </w:rPr>
            </w:pPr>
            <w:r w:rsidRPr="007F03BF">
              <w:rPr>
                <w:rFonts w:ascii="Arial" w:hAnsi="Arial" w:cs="Arial"/>
                <w:color w:val="000000"/>
                <w:sz w:val="20"/>
                <w:szCs w:val="20"/>
              </w:rPr>
              <w:t>9</w:t>
            </w:r>
            <w:r w:rsidR="003B3986" w:rsidRPr="007F03BF">
              <w:rPr>
                <w:rFonts w:ascii="Arial" w:hAnsi="Arial" w:cs="Arial"/>
                <w:color w:val="000000"/>
                <w:sz w:val="20"/>
                <w:szCs w:val="20"/>
              </w:rPr>
              <w:t>6.24</w:t>
            </w:r>
          </w:p>
        </w:tc>
        <w:tc>
          <w:tcPr>
            <w:tcW w:w="1703" w:type="dxa"/>
            <w:tcBorders>
              <w:top w:val="nil"/>
              <w:left w:val="nil"/>
              <w:bottom w:val="single" w:sz="4" w:space="0" w:color="auto"/>
              <w:right w:val="single" w:sz="4" w:space="0" w:color="auto"/>
            </w:tcBorders>
            <w:shd w:val="clear" w:color="auto" w:fill="auto"/>
            <w:vAlign w:val="center"/>
            <w:hideMark/>
          </w:tcPr>
          <w:p w14:paraId="5290FFF7" w14:textId="77777777" w:rsidR="00920167" w:rsidRPr="007F03BF" w:rsidRDefault="00920167" w:rsidP="00920167">
            <w:pPr>
              <w:jc w:val="center"/>
              <w:rPr>
                <w:rFonts w:ascii="Arial" w:hAnsi="Arial" w:cs="Arial"/>
                <w:color w:val="000000"/>
                <w:sz w:val="20"/>
                <w:szCs w:val="20"/>
              </w:rPr>
            </w:pPr>
            <w:r w:rsidRPr="007F03BF">
              <w:rPr>
                <w:rFonts w:ascii="Arial" w:hAnsi="Arial" w:cs="Arial"/>
                <w:color w:val="000000"/>
                <w:sz w:val="20"/>
                <w:szCs w:val="20"/>
              </w:rPr>
              <w:t>9</w:t>
            </w:r>
            <w:r w:rsidR="003B3986" w:rsidRPr="007F03BF">
              <w:rPr>
                <w:rFonts w:ascii="Arial" w:hAnsi="Arial" w:cs="Arial"/>
                <w:color w:val="000000"/>
                <w:sz w:val="20"/>
                <w:szCs w:val="20"/>
              </w:rPr>
              <w:t>8.34</w:t>
            </w:r>
          </w:p>
        </w:tc>
        <w:tc>
          <w:tcPr>
            <w:tcW w:w="990" w:type="dxa"/>
            <w:tcBorders>
              <w:top w:val="nil"/>
              <w:left w:val="nil"/>
              <w:bottom w:val="single" w:sz="4" w:space="0" w:color="auto"/>
              <w:right w:val="single" w:sz="4" w:space="0" w:color="auto"/>
            </w:tcBorders>
            <w:shd w:val="clear" w:color="auto" w:fill="auto"/>
            <w:vAlign w:val="center"/>
            <w:hideMark/>
          </w:tcPr>
          <w:p w14:paraId="1FB8800C" w14:textId="77777777" w:rsidR="00920167" w:rsidRPr="007F03BF" w:rsidRDefault="003B3986" w:rsidP="00920167">
            <w:pPr>
              <w:jc w:val="center"/>
              <w:rPr>
                <w:rFonts w:ascii="Arial" w:hAnsi="Arial" w:cs="Arial"/>
                <w:color w:val="000000"/>
                <w:sz w:val="20"/>
                <w:szCs w:val="20"/>
              </w:rPr>
            </w:pPr>
            <w:r w:rsidRPr="007F03BF">
              <w:rPr>
                <w:rFonts w:ascii="Arial" w:hAnsi="Arial" w:cs="Arial"/>
                <w:color w:val="000000"/>
                <w:sz w:val="20"/>
                <w:szCs w:val="20"/>
              </w:rPr>
              <w:t>2.1</w:t>
            </w:r>
          </w:p>
        </w:tc>
      </w:tr>
    </w:tbl>
    <w:p w14:paraId="379E6446" w14:textId="77777777" w:rsidR="00C60C1A" w:rsidRPr="007F03BF" w:rsidRDefault="00C60C1A" w:rsidP="00C60C1A">
      <w:pPr>
        <w:spacing w:before="100" w:beforeAutospacing="1" w:after="100" w:afterAutospacing="1" w:line="360" w:lineRule="auto"/>
        <w:contextualSpacing/>
        <w:jc w:val="both"/>
        <w:rPr>
          <w:rFonts w:ascii="Arial" w:hAnsi="Arial" w:cs="Arial"/>
        </w:rPr>
      </w:pPr>
    </w:p>
    <w:p w14:paraId="52799D08" w14:textId="77777777" w:rsidR="003B3986" w:rsidRPr="007F03BF" w:rsidRDefault="00C60C1A" w:rsidP="003B3986">
      <w:pPr>
        <w:spacing w:before="100" w:beforeAutospacing="1" w:after="100" w:afterAutospacing="1" w:line="360" w:lineRule="auto"/>
        <w:jc w:val="both"/>
        <w:rPr>
          <w:rFonts w:ascii="Arial" w:hAnsi="Arial" w:cs="Arial"/>
        </w:rPr>
      </w:pPr>
      <w:r w:rsidRPr="007F03BF">
        <w:rPr>
          <w:rFonts w:ascii="Arial" w:hAnsi="Arial" w:cs="Arial"/>
        </w:rPr>
        <w:t xml:space="preserve">Con relación a las recomendaciones y observaciones emitidas </w:t>
      </w:r>
      <w:r w:rsidR="003B3986" w:rsidRPr="007F03BF">
        <w:rPr>
          <w:rFonts w:ascii="Arial" w:hAnsi="Arial" w:cs="Arial"/>
        </w:rPr>
        <w:t>al Instituto de Transparencia en la Segunda</w:t>
      </w:r>
      <w:r w:rsidRPr="007F03BF">
        <w:rPr>
          <w:rFonts w:ascii="Arial" w:hAnsi="Arial" w:cs="Arial"/>
        </w:rPr>
        <w:t xml:space="preserve"> Evaluación Vinculante 2019, </w:t>
      </w:r>
      <w:r w:rsidR="003B3986" w:rsidRPr="007F03BF">
        <w:rPr>
          <w:rFonts w:ascii="Arial" w:hAnsi="Arial" w:cs="Arial"/>
        </w:rPr>
        <w:t>éste atendió</w:t>
      </w:r>
      <w:r w:rsidR="00920167" w:rsidRPr="007F03BF">
        <w:rPr>
          <w:rFonts w:ascii="Arial" w:hAnsi="Arial" w:cs="Arial"/>
        </w:rPr>
        <w:t xml:space="preserve"> las mismas; no obstante, continúa presentando áreas de oportunidad, por lo que se encuentra ubicad</w:t>
      </w:r>
      <w:r w:rsidR="003B3986" w:rsidRPr="007F03BF">
        <w:rPr>
          <w:rFonts w:ascii="Arial" w:hAnsi="Arial" w:cs="Arial"/>
        </w:rPr>
        <w:t>o</w:t>
      </w:r>
      <w:r w:rsidR="00920167" w:rsidRPr="007F03BF">
        <w:rPr>
          <w:rFonts w:ascii="Arial" w:hAnsi="Arial" w:cs="Arial"/>
        </w:rPr>
        <w:t xml:space="preserve"> en un cumplimiento parcial.</w:t>
      </w:r>
      <w:r w:rsidR="002E7CF1" w:rsidRPr="007F03BF">
        <w:rPr>
          <w:rFonts w:ascii="Arial" w:hAnsi="Arial" w:cs="Arial"/>
        </w:rPr>
        <w:t xml:space="preserve"> </w:t>
      </w:r>
    </w:p>
    <w:p w14:paraId="1E8A2050" w14:textId="77777777" w:rsidR="009D05E7" w:rsidRPr="007F03BF" w:rsidRDefault="009D05E7" w:rsidP="003B3986">
      <w:pPr>
        <w:spacing w:before="100" w:beforeAutospacing="1" w:after="100" w:afterAutospacing="1" w:line="360" w:lineRule="auto"/>
        <w:jc w:val="both"/>
        <w:rPr>
          <w:rFonts w:ascii="Arial" w:hAnsi="Arial" w:cs="Arial"/>
        </w:rPr>
      </w:pPr>
      <w:r w:rsidRPr="007F03BF">
        <w:rPr>
          <w:rFonts w:ascii="Arial" w:hAnsi="Arial" w:cs="Arial"/>
          <w:b/>
        </w:rPr>
        <w:br w:type="page"/>
      </w:r>
    </w:p>
    <w:p w14:paraId="34065FD3" w14:textId="77777777" w:rsidR="004828F3" w:rsidRPr="007F03BF" w:rsidRDefault="004828F3" w:rsidP="00FF7BD9">
      <w:pPr>
        <w:pStyle w:val="Ttulo1"/>
        <w:contextualSpacing/>
        <w:rPr>
          <w:rFonts w:ascii="Arial" w:hAnsi="Arial" w:cs="Arial"/>
          <w:b/>
          <w:color w:val="auto"/>
          <w:sz w:val="24"/>
          <w:szCs w:val="24"/>
        </w:rPr>
      </w:pPr>
      <w:bookmarkStart w:id="23" w:name="_Toc39684005"/>
      <w:r w:rsidRPr="007F03BF">
        <w:rPr>
          <w:rFonts w:ascii="Arial" w:hAnsi="Arial" w:cs="Arial"/>
          <w:b/>
          <w:color w:val="auto"/>
          <w:sz w:val="24"/>
          <w:szCs w:val="24"/>
        </w:rPr>
        <w:lastRenderedPageBreak/>
        <w:t>SINDICATOS</w:t>
      </w:r>
      <w:bookmarkEnd w:id="0"/>
      <w:bookmarkEnd w:id="23"/>
      <w:r w:rsidRPr="007F03BF">
        <w:rPr>
          <w:rFonts w:ascii="Arial" w:hAnsi="Arial" w:cs="Arial"/>
          <w:b/>
          <w:color w:val="auto"/>
          <w:sz w:val="24"/>
          <w:szCs w:val="24"/>
        </w:rPr>
        <w:t xml:space="preserve"> </w:t>
      </w:r>
    </w:p>
    <w:p w14:paraId="7396F56B" w14:textId="77777777" w:rsidR="004828F3" w:rsidRPr="007F03BF" w:rsidRDefault="004828F3" w:rsidP="004828F3">
      <w:pPr>
        <w:contextualSpacing/>
        <w:rPr>
          <w:rFonts w:ascii="Arial" w:hAnsi="Arial" w:cs="Arial"/>
        </w:rPr>
      </w:pPr>
    </w:p>
    <w:p w14:paraId="01520CED" w14:textId="77777777" w:rsidR="00B2542B" w:rsidRPr="007F03BF" w:rsidRDefault="00B2542B" w:rsidP="00B2542B">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El ámbito de Sindicatos está integrado por 21 sujetos obligados, de conformidad con el Padrón de sujetos obligados supeditados al cumplimiento de la Ley de Transparencia, Acceso a la Información Pública y Rendición de Cuentas de la Ciudad de México</w:t>
      </w:r>
      <w:r w:rsidRPr="007F03BF" w:rsidDel="005B5D1B">
        <w:rPr>
          <w:rFonts w:ascii="Arial" w:hAnsi="Arial" w:cs="Arial"/>
          <w:color w:val="000000" w:themeColor="text1"/>
        </w:rPr>
        <w:t xml:space="preserve"> </w:t>
      </w:r>
      <w:r w:rsidRPr="007F03BF">
        <w:rPr>
          <w:rFonts w:ascii="Arial" w:hAnsi="Arial" w:cs="Arial"/>
          <w:color w:val="000000" w:themeColor="text1"/>
        </w:rPr>
        <w:t xml:space="preserve">y de la Ley de Protección de Datos Personales en Posesión de los sujetos obligados de la Ciudad de México vigente. De los 21 sujetos obligados que integran el Padrón, uno se integró al Padrón durante el primer semestre del año 2019 y fue evaluado durante la Segunda Evaluación Vinculante 2019. </w:t>
      </w:r>
    </w:p>
    <w:p w14:paraId="43C687BC" w14:textId="77777777" w:rsidR="00B2542B" w:rsidRPr="007F03BF" w:rsidRDefault="00B2542B" w:rsidP="00B2542B">
      <w:pPr>
        <w:spacing w:before="100" w:beforeAutospacing="1" w:after="100" w:afterAutospacing="1" w:line="360" w:lineRule="auto"/>
        <w:contextualSpacing/>
        <w:jc w:val="both"/>
        <w:rPr>
          <w:rFonts w:ascii="Arial" w:hAnsi="Arial" w:cs="Arial"/>
          <w:color w:val="000000" w:themeColor="text1"/>
        </w:rPr>
      </w:pPr>
    </w:p>
    <w:p w14:paraId="32521483" w14:textId="77777777" w:rsidR="00B2542B" w:rsidRPr="007F03BF" w:rsidRDefault="00B2542B" w:rsidP="00B2542B">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El Sindicato de Trabajadores del Tribunal de Justicia Administrativa de la Ciudad de México (Sindicatos TJA) obtuvo un índice general de cumplimiento de obligaciones de transparencia de 97.26%.  </w:t>
      </w:r>
    </w:p>
    <w:p w14:paraId="11E9A309" w14:textId="77777777" w:rsidR="00B2542B" w:rsidRPr="007F03BF" w:rsidRDefault="00B2542B" w:rsidP="00B2542B">
      <w:pPr>
        <w:spacing w:before="100" w:beforeAutospacing="1" w:after="100" w:afterAutospacing="1" w:line="360" w:lineRule="auto"/>
        <w:contextualSpacing/>
        <w:jc w:val="both"/>
        <w:rPr>
          <w:rFonts w:ascii="Arial" w:hAnsi="Arial" w:cs="Arial"/>
          <w:color w:val="000000" w:themeColor="text1"/>
        </w:rPr>
      </w:pPr>
    </w:p>
    <w:p w14:paraId="4B2041A6" w14:textId="77777777" w:rsidR="00B2542B" w:rsidRPr="007F03BF" w:rsidRDefault="00B2542B" w:rsidP="00B2542B">
      <w:pPr>
        <w:spacing w:before="100" w:beforeAutospacing="1" w:after="100" w:afterAutospacing="1" w:line="360" w:lineRule="auto"/>
        <w:contextualSpacing/>
        <w:jc w:val="both"/>
        <w:rPr>
          <w:rFonts w:ascii="Arial" w:hAnsi="Arial" w:cs="Arial"/>
          <w:color w:val="000000" w:themeColor="text1"/>
        </w:rPr>
      </w:pPr>
      <w:r w:rsidRPr="007F03BF">
        <w:rPr>
          <w:rFonts w:ascii="Arial" w:hAnsi="Arial" w:cs="Arial"/>
          <w:color w:val="000000" w:themeColor="text1"/>
        </w:rPr>
        <w:t xml:space="preserve">Los sujetos obligados, así como su Índice de Cumplimiento de obligaciones de transparencia del Portal de Internet (IGOT-PI), el de la Plataforma Nacional de Transparencia (IGOT-PNT) y el Índice General de Cumplimiento de obligaciones de transparencia (IGOT) se presentan en la siguiente tabla, ordenados de forma descendente, respecto del IGOT: </w:t>
      </w:r>
    </w:p>
    <w:p w14:paraId="2F834BAE" w14:textId="77777777" w:rsidR="004828F3" w:rsidRPr="007F03BF" w:rsidRDefault="004828F3" w:rsidP="004828F3">
      <w:pPr>
        <w:spacing w:before="100" w:beforeAutospacing="1" w:after="100" w:afterAutospacing="1" w:line="360" w:lineRule="auto"/>
        <w:contextualSpacing/>
        <w:jc w:val="both"/>
        <w:rPr>
          <w:rFonts w:ascii="Arial" w:hAnsi="Arial" w:cs="Arial"/>
        </w:rPr>
      </w:pPr>
    </w:p>
    <w:tbl>
      <w:tblPr>
        <w:tblW w:w="8926" w:type="dxa"/>
        <w:tblCellMar>
          <w:left w:w="70" w:type="dxa"/>
          <w:right w:w="70" w:type="dxa"/>
        </w:tblCellMar>
        <w:tblLook w:val="04A0" w:firstRow="1" w:lastRow="0" w:firstColumn="1" w:lastColumn="0" w:noHBand="0" w:noVBand="1"/>
      </w:tblPr>
      <w:tblGrid>
        <w:gridCol w:w="463"/>
        <w:gridCol w:w="5212"/>
        <w:gridCol w:w="1130"/>
        <w:gridCol w:w="1272"/>
        <w:gridCol w:w="849"/>
      </w:tblGrid>
      <w:tr w:rsidR="004828F3" w:rsidRPr="007F03BF" w14:paraId="70D000A7" w14:textId="77777777" w:rsidTr="008C4FD7">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5AFB2BE6" w14:textId="77777777" w:rsidR="004828F3" w:rsidRPr="007F03BF" w:rsidRDefault="00B2542B" w:rsidP="001F7251">
            <w:pPr>
              <w:jc w:val="center"/>
              <w:rPr>
                <w:rFonts w:ascii="Arial" w:hAnsi="Arial" w:cs="Arial"/>
                <w:b/>
                <w:bCs/>
                <w:color w:val="000000"/>
                <w:sz w:val="20"/>
                <w:szCs w:val="20"/>
              </w:rPr>
            </w:pPr>
            <w:r w:rsidRPr="007F03BF">
              <w:rPr>
                <w:rFonts w:ascii="Arial" w:hAnsi="Arial" w:cs="Arial"/>
                <w:b/>
                <w:bCs/>
                <w:color w:val="000000"/>
                <w:sz w:val="20"/>
                <w:szCs w:val="20"/>
              </w:rPr>
              <w:t>Resultados de la Primera Evaluación Vinculante 2020, respecto de las recomendaciones y observaciones de la Segunda Evaluación Vinculante 2019</w:t>
            </w:r>
          </w:p>
        </w:tc>
      </w:tr>
      <w:tr w:rsidR="004828F3" w:rsidRPr="007F03BF" w14:paraId="62709B32" w14:textId="77777777" w:rsidTr="008C4FD7">
        <w:trPr>
          <w:trHeight w:val="340"/>
          <w:tblHeader/>
        </w:trPr>
        <w:tc>
          <w:tcPr>
            <w:tcW w:w="463" w:type="dxa"/>
            <w:tcBorders>
              <w:top w:val="nil"/>
              <w:left w:val="single" w:sz="4" w:space="0" w:color="auto"/>
              <w:bottom w:val="single" w:sz="4" w:space="0" w:color="auto"/>
              <w:right w:val="single" w:sz="4" w:space="0" w:color="auto"/>
            </w:tcBorders>
            <w:shd w:val="clear" w:color="auto" w:fill="70AD47" w:themeFill="accent6"/>
            <w:vAlign w:val="center"/>
            <w:hideMark/>
          </w:tcPr>
          <w:p w14:paraId="76B5E84C" w14:textId="77777777" w:rsidR="004828F3" w:rsidRPr="007F03BF" w:rsidRDefault="004828F3" w:rsidP="001F7251">
            <w:pPr>
              <w:jc w:val="center"/>
              <w:rPr>
                <w:rFonts w:ascii="Arial" w:hAnsi="Arial" w:cs="Arial"/>
                <w:b/>
                <w:bCs/>
                <w:color w:val="000000"/>
                <w:sz w:val="20"/>
                <w:szCs w:val="20"/>
              </w:rPr>
            </w:pPr>
            <w:r w:rsidRPr="007F03BF">
              <w:rPr>
                <w:rFonts w:ascii="Arial" w:hAnsi="Arial" w:cs="Arial"/>
                <w:b/>
                <w:bCs/>
                <w:color w:val="000000"/>
                <w:sz w:val="20"/>
                <w:szCs w:val="20"/>
              </w:rPr>
              <w:t>No.</w:t>
            </w:r>
          </w:p>
        </w:tc>
        <w:tc>
          <w:tcPr>
            <w:tcW w:w="5212" w:type="dxa"/>
            <w:tcBorders>
              <w:top w:val="nil"/>
              <w:left w:val="nil"/>
              <w:bottom w:val="single" w:sz="4" w:space="0" w:color="auto"/>
              <w:right w:val="single" w:sz="4" w:space="0" w:color="auto"/>
            </w:tcBorders>
            <w:shd w:val="clear" w:color="auto" w:fill="70AD47" w:themeFill="accent6"/>
            <w:vAlign w:val="center"/>
            <w:hideMark/>
          </w:tcPr>
          <w:p w14:paraId="3B9D9F86" w14:textId="77777777" w:rsidR="004828F3" w:rsidRPr="007F03BF" w:rsidRDefault="004828F3" w:rsidP="001F7251">
            <w:pPr>
              <w:jc w:val="center"/>
              <w:rPr>
                <w:rFonts w:ascii="Arial" w:hAnsi="Arial" w:cs="Arial"/>
                <w:b/>
                <w:bCs/>
                <w:color w:val="000000"/>
                <w:sz w:val="20"/>
                <w:szCs w:val="20"/>
              </w:rPr>
            </w:pPr>
            <w:r w:rsidRPr="007F03BF">
              <w:rPr>
                <w:rFonts w:ascii="Arial" w:hAnsi="Arial" w:cs="Arial"/>
                <w:b/>
                <w:bCs/>
                <w:color w:val="000000"/>
                <w:sz w:val="20"/>
                <w:szCs w:val="20"/>
              </w:rPr>
              <w:t>Sujeto obligado</w:t>
            </w:r>
          </w:p>
        </w:tc>
        <w:tc>
          <w:tcPr>
            <w:tcW w:w="1130" w:type="dxa"/>
            <w:tcBorders>
              <w:top w:val="nil"/>
              <w:left w:val="nil"/>
              <w:bottom w:val="single" w:sz="4" w:space="0" w:color="auto"/>
              <w:right w:val="single" w:sz="4" w:space="0" w:color="auto"/>
            </w:tcBorders>
            <w:shd w:val="clear" w:color="auto" w:fill="70AD47" w:themeFill="accent6"/>
            <w:vAlign w:val="center"/>
            <w:hideMark/>
          </w:tcPr>
          <w:p w14:paraId="28FDB185" w14:textId="77777777" w:rsidR="004828F3" w:rsidRPr="007F03BF" w:rsidRDefault="004828F3" w:rsidP="001F7251">
            <w:pPr>
              <w:jc w:val="center"/>
              <w:rPr>
                <w:rFonts w:ascii="Arial" w:hAnsi="Arial" w:cs="Arial"/>
                <w:b/>
                <w:bCs/>
                <w:color w:val="000000"/>
                <w:sz w:val="20"/>
                <w:szCs w:val="20"/>
              </w:rPr>
            </w:pPr>
            <w:r w:rsidRPr="007F03BF">
              <w:rPr>
                <w:rFonts w:ascii="Arial" w:hAnsi="Arial" w:cs="Arial"/>
                <w:b/>
                <w:bCs/>
                <w:color w:val="000000"/>
                <w:sz w:val="20"/>
                <w:szCs w:val="20"/>
              </w:rPr>
              <w:t>I</w:t>
            </w:r>
            <w:r w:rsidR="007E533F" w:rsidRPr="007F03BF">
              <w:rPr>
                <w:rFonts w:ascii="Arial" w:hAnsi="Arial" w:cs="Arial"/>
                <w:b/>
                <w:bCs/>
                <w:color w:val="000000"/>
                <w:sz w:val="20"/>
                <w:szCs w:val="20"/>
              </w:rPr>
              <w:t>C</w:t>
            </w:r>
            <w:r w:rsidRPr="007F03BF">
              <w:rPr>
                <w:rFonts w:ascii="Arial" w:hAnsi="Arial" w:cs="Arial"/>
                <w:b/>
                <w:bCs/>
                <w:color w:val="000000"/>
                <w:sz w:val="20"/>
                <w:szCs w:val="20"/>
              </w:rPr>
              <w:t>OT-</w:t>
            </w:r>
            <w:r w:rsidR="00677E37" w:rsidRPr="007F03BF">
              <w:rPr>
                <w:rFonts w:ascii="Arial" w:hAnsi="Arial" w:cs="Arial"/>
                <w:b/>
                <w:bCs/>
                <w:color w:val="000000"/>
                <w:sz w:val="20"/>
                <w:szCs w:val="20"/>
              </w:rPr>
              <w:t>PI</w:t>
            </w:r>
          </w:p>
        </w:tc>
        <w:tc>
          <w:tcPr>
            <w:tcW w:w="1272" w:type="dxa"/>
            <w:tcBorders>
              <w:top w:val="nil"/>
              <w:left w:val="nil"/>
              <w:bottom w:val="single" w:sz="4" w:space="0" w:color="auto"/>
              <w:right w:val="single" w:sz="4" w:space="0" w:color="auto"/>
            </w:tcBorders>
            <w:shd w:val="clear" w:color="auto" w:fill="70AD47" w:themeFill="accent6"/>
            <w:vAlign w:val="center"/>
            <w:hideMark/>
          </w:tcPr>
          <w:p w14:paraId="27900CFD" w14:textId="77777777" w:rsidR="004828F3" w:rsidRPr="007F03BF" w:rsidRDefault="004828F3" w:rsidP="001F7251">
            <w:pPr>
              <w:jc w:val="center"/>
              <w:rPr>
                <w:rFonts w:ascii="Arial" w:hAnsi="Arial" w:cs="Arial"/>
                <w:b/>
                <w:bCs/>
                <w:color w:val="000000"/>
                <w:sz w:val="20"/>
                <w:szCs w:val="20"/>
              </w:rPr>
            </w:pPr>
            <w:r w:rsidRPr="007F03BF">
              <w:rPr>
                <w:rFonts w:ascii="Arial" w:hAnsi="Arial" w:cs="Arial"/>
                <w:b/>
                <w:bCs/>
                <w:color w:val="000000"/>
                <w:sz w:val="20"/>
                <w:szCs w:val="20"/>
              </w:rPr>
              <w:t>I</w:t>
            </w:r>
            <w:r w:rsidR="007E533F" w:rsidRPr="007F03BF">
              <w:rPr>
                <w:rFonts w:ascii="Arial" w:hAnsi="Arial" w:cs="Arial"/>
                <w:b/>
                <w:bCs/>
                <w:color w:val="000000"/>
                <w:sz w:val="20"/>
                <w:szCs w:val="20"/>
              </w:rPr>
              <w:t>C</w:t>
            </w:r>
            <w:r w:rsidRPr="007F03BF">
              <w:rPr>
                <w:rFonts w:ascii="Arial" w:hAnsi="Arial" w:cs="Arial"/>
                <w:b/>
                <w:bCs/>
                <w:color w:val="000000"/>
                <w:sz w:val="20"/>
                <w:szCs w:val="20"/>
              </w:rPr>
              <w:t>OT-PNT</w:t>
            </w:r>
          </w:p>
        </w:tc>
        <w:tc>
          <w:tcPr>
            <w:tcW w:w="849" w:type="dxa"/>
            <w:tcBorders>
              <w:top w:val="nil"/>
              <w:left w:val="nil"/>
              <w:bottom w:val="single" w:sz="4" w:space="0" w:color="auto"/>
              <w:right w:val="single" w:sz="4" w:space="0" w:color="auto"/>
            </w:tcBorders>
            <w:shd w:val="clear" w:color="auto" w:fill="70AD47" w:themeFill="accent6"/>
            <w:vAlign w:val="center"/>
            <w:hideMark/>
          </w:tcPr>
          <w:p w14:paraId="5C4F1F4C" w14:textId="77777777" w:rsidR="004828F3" w:rsidRPr="007F03BF" w:rsidRDefault="004828F3" w:rsidP="001F7251">
            <w:pPr>
              <w:jc w:val="center"/>
              <w:rPr>
                <w:rFonts w:ascii="Arial" w:hAnsi="Arial" w:cs="Arial"/>
                <w:b/>
                <w:bCs/>
                <w:color w:val="000000"/>
                <w:sz w:val="20"/>
                <w:szCs w:val="20"/>
              </w:rPr>
            </w:pPr>
            <w:r w:rsidRPr="007F03BF">
              <w:rPr>
                <w:rFonts w:ascii="Arial" w:hAnsi="Arial" w:cs="Arial"/>
                <w:b/>
                <w:bCs/>
                <w:color w:val="000000"/>
                <w:sz w:val="20"/>
                <w:szCs w:val="20"/>
              </w:rPr>
              <w:t>IGOT</w:t>
            </w:r>
          </w:p>
        </w:tc>
      </w:tr>
      <w:tr w:rsidR="004828F3" w:rsidRPr="007F03BF" w14:paraId="34DC119F" w14:textId="77777777"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14FEBF48" w14:textId="77777777" w:rsidR="004828F3" w:rsidRPr="007F03BF" w:rsidRDefault="00B2542B" w:rsidP="001F7251">
            <w:pPr>
              <w:jc w:val="center"/>
              <w:rPr>
                <w:rFonts w:ascii="Arial" w:hAnsi="Arial" w:cs="Arial"/>
                <w:color w:val="000000"/>
                <w:sz w:val="20"/>
                <w:szCs w:val="20"/>
              </w:rPr>
            </w:pPr>
            <w:r w:rsidRPr="007F03BF">
              <w:rPr>
                <w:rFonts w:ascii="Arial" w:hAnsi="Arial" w:cs="Arial"/>
                <w:color w:val="000000"/>
                <w:sz w:val="20"/>
                <w:szCs w:val="20"/>
              </w:rPr>
              <w:t>1</w:t>
            </w:r>
          </w:p>
        </w:tc>
        <w:tc>
          <w:tcPr>
            <w:tcW w:w="5212" w:type="dxa"/>
            <w:tcBorders>
              <w:top w:val="nil"/>
              <w:left w:val="nil"/>
              <w:bottom w:val="single" w:sz="4" w:space="0" w:color="auto"/>
              <w:right w:val="single" w:sz="4" w:space="0" w:color="auto"/>
            </w:tcBorders>
            <w:shd w:val="clear" w:color="auto" w:fill="auto"/>
            <w:vAlign w:val="center"/>
            <w:hideMark/>
          </w:tcPr>
          <w:p w14:paraId="0BFCF923" w14:textId="77777777" w:rsidR="004828F3" w:rsidRPr="007F03BF" w:rsidRDefault="004828F3" w:rsidP="001F7251">
            <w:pPr>
              <w:rPr>
                <w:rFonts w:ascii="Arial" w:hAnsi="Arial" w:cs="Arial"/>
                <w:color w:val="000000"/>
                <w:sz w:val="20"/>
                <w:szCs w:val="20"/>
              </w:rPr>
            </w:pPr>
            <w:r w:rsidRPr="007F03BF">
              <w:rPr>
                <w:rFonts w:ascii="Arial" w:hAnsi="Arial" w:cs="Arial"/>
                <w:color w:val="000000"/>
                <w:sz w:val="20"/>
                <w:szCs w:val="20"/>
              </w:rPr>
              <w:t>Sindicato de Trabajadores del Tribunal de Justicia Administrativa de la Ciudad de México</w:t>
            </w:r>
          </w:p>
        </w:tc>
        <w:tc>
          <w:tcPr>
            <w:tcW w:w="1130" w:type="dxa"/>
            <w:tcBorders>
              <w:top w:val="nil"/>
              <w:left w:val="nil"/>
              <w:bottom w:val="single" w:sz="4" w:space="0" w:color="auto"/>
              <w:right w:val="single" w:sz="4" w:space="0" w:color="auto"/>
            </w:tcBorders>
            <w:shd w:val="clear" w:color="auto" w:fill="auto"/>
            <w:vAlign w:val="center"/>
            <w:hideMark/>
          </w:tcPr>
          <w:p w14:paraId="02EE6E3D" w14:textId="77777777" w:rsidR="004828F3" w:rsidRPr="007F03BF" w:rsidRDefault="00B2542B" w:rsidP="001F7251">
            <w:pPr>
              <w:jc w:val="center"/>
              <w:rPr>
                <w:rFonts w:ascii="Arial" w:hAnsi="Arial" w:cs="Arial"/>
                <w:color w:val="000000"/>
                <w:sz w:val="20"/>
                <w:szCs w:val="20"/>
              </w:rPr>
            </w:pPr>
            <w:r w:rsidRPr="007F03BF">
              <w:rPr>
                <w:rFonts w:ascii="Arial" w:hAnsi="Arial" w:cs="Arial"/>
                <w:color w:val="000000"/>
                <w:sz w:val="20"/>
                <w:szCs w:val="20"/>
              </w:rPr>
              <w:t>97.66</w:t>
            </w:r>
          </w:p>
        </w:tc>
        <w:tc>
          <w:tcPr>
            <w:tcW w:w="1272" w:type="dxa"/>
            <w:tcBorders>
              <w:top w:val="nil"/>
              <w:left w:val="nil"/>
              <w:bottom w:val="single" w:sz="4" w:space="0" w:color="auto"/>
              <w:right w:val="single" w:sz="4" w:space="0" w:color="auto"/>
            </w:tcBorders>
            <w:shd w:val="clear" w:color="auto" w:fill="auto"/>
            <w:vAlign w:val="center"/>
            <w:hideMark/>
          </w:tcPr>
          <w:p w14:paraId="1007C852" w14:textId="77777777" w:rsidR="004828F3" w:rsidRPr="007F03BF" w:rsidRDefault="00B2542B" w:rsidP="001F7251">
            <w:pPr>
              <w:jc w:val="center"/>
              <w:rPr>
                <w:rFonts w:ascii="Arial" w:hAnsi="Arial" w:cs="Arial"/>
                <w:color w:val="000000"/>
                <w:sz w:val="20"/>
                <w:szCs w:val="20"/>
              </w:rPr>
            </w:pPr>
            <w:r w:rsidRPr="007F03BF">
              <w:rPr>
                <w:rFonts w:ascii="Arial" w:hAnsi="Arial" w:cs="Arial"/>
                <w:color w:val="000000"/>
                <w:sz w:val="20"/>
                <w:szCs w:val="20"/>
              </w:rPr>
              <w:t>96.85</w:t>
            </w:r>
          </w:p>
        </w:tc>
        <w:tc>
          <w:tcPr>
            <w:tcW w:w="849" w:type="dxa"/>
            <w:tcBorders>
              <w:top w:val="nil"/>
              <w:left w:val="nil"/>
              <w:bottom w:val="single" w:sz="4" w:space="0" w:color="auto"/>
              <w:right w:val="single" w:sz="4" w:space="0" w:color="auto"/>
            </w:tcBorders>
            <w:shd w:val="clear" w:color="auto" w:fill="auto"/>
            <w:vAlign w:val="center"/>
            <w:hideMark/>
          </w:tcPr>
          <w:p w14:paraId="159CA113" w14:textId="77777777" w:rsidR="004828F3" w:rsidRPr="007F03BF" w:rsidRDefault="00B2542B" w:rsidP="001F7251">
            <w:pPr>
              <w:jc w:val="center"/>
              <w:rPr>
                <w:rFonts w:ascii="Arial" w:hAnsi="Arial" w:cs="Arial"/>
                <w:color w:val="000000"/>
                <w:sz w:val="20"/>
                <w:szCs w:val="20"/>
              </w:rPr>
            </w:pPr>
            <w:r w:rsidRPr="007F03BF">
              <w:rPr>
                <w:rFonts w:ascii="Arial" w:hAnsi="Arial" w:cs="Arial"/>
                <w:color w:val="000000"/>
                <w:sz w:val="20"/>
                <w:szCs w:val="20"/>
              </w:rPr>
              <w:t>97.26</w:t>
            </w:r>
          </w:p>
        </w:tc>
      </w:tr>
    </w:tbl>
    <w:p w14:paraId="799CD1AE" w14:textId="77777777" w:rsidR="004828F3" w:rsidRPr="007F03BF" w:rsidRDefault="004828F3" w:rsidP="004828F3">
      <w:pPr>
        <w:spacing w:before="100" w:beforeAutospacing="1" w:after="100" w:afterAutospacing="1" w:line="360" w:lineRule="auto"/>
        <w:contextualSpacing/>
        <w:jc w:val="both"/>
        <w:rPr>
          <w:rFonts w:ascii="Arial" w:hAnsi="Arial" w:cs="Arial"/>
          <w:sz w:val="16"/>
          <w:szCs w:val="16"/>
        </w:rPr>
      </w:pPr>
      <w:r w:rsidRPr="007F03BF">
        <w:rPr>
          <w:rFonts w:ascii="Arial" w:hAnsi="Arial" w:cs="Arial"/>
          <w:b/>
          <w:sz w:val="16"/>
          <w:szCs w:val="16"/>
        </w:rPr>
        <w:t>Nota metodológica</w:t>
      </w:r>
      <w:r w:rsidRPr="007F03BF">
        <w:rPr>
          <w:rFonts w:ascii="Arial" w:hAnsi="Arial" w:cs="Arial"/>
          <w:sz w:val="16"/>
          <w:szCs w:val="16"/>
        </w:rPr>
        <w:t xml:space="preserve">: </w:t>
      </w:r>
    </w:p>
    <w:p w14:paraId="10250703" w14:textId="77777777" w:rsidR="004828F3" w:rsidRPr="007F03BF" w:rsidRDefault="004828F3" w:rsidP="004828F3">
      <w:pPr>
        <w:spacing w:before="100" w:beforeAutospacing="1" w:after="100" w:afterAutospacing="1" w:line="360" w:lineRule="auto"/>
        <w:contextualSpacing/>
        <w:jc w:val="both"/>
        <w:rPr>
          <w:rFonts w:ascii="Arial" w:hAnsi="Arial" w:cs="Arial"/>
          <w:sz w:val="16"/>
          <w:szCs w:val="16"/>
        </w:rPr>
      </w:pPr>
      <w:r w:rsidRPr="007F03BF">
        <w:rPr>
          <w:rFonts w:ascii="Arial" w:hAnsi="Arial" w:cs="Arial"/>
          <w:sz w:val="16"/>
          <w:szCs w:val="16"/>
        </w:rPr>
        <w:t>El IGOT se compone del promedio de ICOT-</w:t>
      </w:r>
      <w:r w:rsidR="00677E37" w:rsidRPr="007F03BF">
        <w:rPr>
          <w:rFonts w:ascii="Arial" w:hAnsi="Arial" w:cs="Arial"/>
          <w:sz w:val="16"/>
          <w:szCs w:val="16"/>
        </w:rPr>
        <w:t>PI</w:t>
      </w:r>
      <w:r w:rsidRPr="007F03BF">
        <w:rPr>
          <w:rFonts w:ascii="Arial" w:hAnsi="Arial" w:cs="Arial"/>
          <w:sz w:val="16"/>
          <w:szCs w:val="16"/>
        </w:rPr>
        <w:t xml:space="preserve"> e ICOT-PNT.</w:t>
      </w:r>
    </w:p>
    <w:p w14:paraId="778AA8DF" w14:textId="77777777" w:rsidR="004828F3" w:rsidRPr="007F03BF" w:rsidRDefault="004828F3" w:rsidP="004828F3">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w:t>
      </w:r>
      <w:r w:rsidR="00677E37" w:rsidRPr="007F03BF">
        <w:rPr>
          <w:rFonts w:ascii="Arial" w:hAnsi="Arial" w:cs="Arial"/>
          <w:b/>
          <w:bCs/>
          <w:color w:val="000000"/>
          <w:sz w:val="16"/>
          <w:szCs w:val="16"/>
        </w:rPr>
        <w:t>PI</w:t>
      </w:r>
      <w:r w:rsidRPr="007F03BF">
        <w:rPr>
          <w:rFonts w:ascii="Arial" w:hAnsi="Arial" w:cs="Arial"/>
          <w:b/>
          <w:bCs/>
          <w:color w:val="000000"/>
          <w:sz w:val="16"/>
          <w:szCs w:val="16"/>
        </w:rPr>
        <w:t>:</w:t>
      </w:r>
      <w:r w:rsidRPr="007F03BF">
        <w:rPr>
          <w:rFonts w:ascii="Arial" w:hAnsi="Arial" w:cs="Arial"/>
          <w:color w:val="000000"/>
          <w:sz w:val="16"/>
          <w:szCs w:val="16"/>
        </w:rPr>
        <w:t xml:space="preserve"> corresponde al porcentaje del índice que hace referencia a la información que se encuentra publicada y actualizada en el Portal de Internet (PI) del sujeto obligado. </w:t>
      </w:r>
    </w:p>
    <w:p w14:paraId="1D7D685A" w14:textId="77777777" w:rsidR="004828F3" w:rsidRPr="007F03BF" w:rsidRDefault="004828F3" w:rsidP="004828F3">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PNT:</w:t>
      </w:r>
      <w:r w:rsidRPr="007F03BF">
        <w:rPr>
          <w:rFonts w:ascii="Arial" w:hAnsi="Arial" w:cs="Arial"/>
          <w:color w:val="000000"/>
          <w:sz w:val="16"/>
          <w:szCs w:val="16"/>
        </w:rPr>
        <w:t xml:space="preserve"> corresponde al porcentaje del índice que hace referencia a la información que se encuentra publicada y actualizada en la Plataforma Nacional de Transparencia (PNT) del sujeto obligado.</w:t>
      </w:r>
    </w:p>
    <w:p w14:paraId="6F19098D" w14:textId="77777777" w:rsidR="004828F3" w:rsidRPr="007F03BF" w:rsidRDefault="004828F3" w:rsidP="004828F3">
      <w:pPr>
        <w:spacing w:before="100" w:beforeAutospacing="1" w:after="100" w:afterAutospacing="1" w:line="360" w:lineRule="auto"/>
        <w:contextualSpacing/>
        <w:jc w:val="both"/>
        <w:rPr>
          <w:rFonts w:ascii="Arial" w:hAnsi="Arial" w:cs="Arial"/>
          <w:color w:val="000000"/>
          <w:sz w:val="16"/>
          <w:szCs w:val="16"/>
        </w:rPr>
      </w:pPr>
      <w:r w:rsidRPr="007F03BF">
        <w:rPr>
          <w:rFonts w:ascii="Arial" w:hAnsi="Arial" w:cs="Arial"/>
          <w:b/>
          <w:bCs/>
          <w:color w:val="000000"/>
          <w:sz w:val="16"/>
          <w:szCs w:val="16"/>
        </w:rPr>
        <w:t>%</w:t>
      </w:r>
      <w:proofErr w:type="spellStart"/>
      <w:r w:rsidRPr="007F03BF">
        <w:rPr>
          <w:rFonts w:ascii="Arial" w:hAnsi="Arial" w:cs="Arial"/>
          <w:b/>
          <w:bCs/>
          <w:color w:val="000000"/>
          <w:sz w:val="16"/>
          <w:szCs w:val="16"/>
        </w:rPr>
        <w:t>Inf</w:t>
      </w:r>
      <w:proofErr w:type="spellEnd"/>
      <w:r w:rsidRPr="007F03BF">
        <w:rPr>
          <w:rFonts w:ascii="Arial" w:hAnsi="Arial" w:cs="Arial"/>
          <w:b/>
          <w:bCs/>
          <w:color w:val="000000"/>
          <w:sz w:val="16"/>
          <w:szCs w:val="16"/>
        </w:rPr>
        <w:t xml:space="preserve"> IGOT: </w:t>
      </w:r>
      <w:r w:rsidRPr="007F03BF">
        <w:rPr>
          <w:rFonts w:ascii="Arial" w:hAnsi="Arial" w:cs="Arial"/>
          <w:color w:val="000000"/>
          <w:sz w:val="16"/>
          <w:szCs w:val="16"/>
        </w:rPr>
        <w:t>corresponde al porcentaje del índice que hace referencia a la información que se encuentra publicada y actualizada tanto en la PNT y el PI del sujeto obligado.</w:t>
      </w:r>
    </w:p>
    <w:p w14:paraId="2E9063A7" w14:textId="77777777" w:rsidR="004828F3" w:rsidRPr="007F03BF" w:rsidRDefault="004828F3" w:rsidP="004828F3">
      <w:pPr>
        <w:spacing w:before="100" w:beforeAutospacing="1" w:after="100" w:afterAutospacing="1" w:line="360" w:lineRule="auto"/>
        <w:contextualSpacing/>
        <w:jc w:val="both"/>
        <w:rPr>
          <w:rFonts w:ascii="Arial" w:hAnsi="Arial" w:cs="Arial"/>
        </w:rPr>
      </w:pPr>
    </w:p>
    <w:p w14:paraId="744BDA34" w14:textId="73E1AB47" w:rsidR="004828F3" w:rsidRPr="007F03BF" w:rsidRDefault="004828F3" w:rsidP="004828F3">
      <w:pPr>
        <w:spacing w:before="100" w:beforeAutospacing="1" w:after="100" w:afterAutospacing="1" w:line="360" w:lineRule="auto"/>
        <w:contextualSpacing/>
        <w:jc w:val="both"/>
        <w:rPr>
          <w:rFonts w:ascii="Arial" w:hAnsi="Arial" w:cs="Arial"/>
        </w:rPr>
      </w:pPr>
      <w:r w:rsidRPr="007F03BF">
        <w:rPr>
          <w:rFonts w:ascii="Arial" w:hAnsi="Arial" w:cs="Arial"/>
        </w:rPr>
        <w:t xml:space="preserve">En atención a la Tabla de Aplicabilidad realizada por la </w:t>
      </w:r>
      <w:r w:rsidR="000E5534" w:rsidRPr="007F03BF">
        <w:rPr>
          <w:rFonts w:ascii="Arial" w:hAnsi="Arial" w:cs="Arial"/>
        </w:rPr>
        <w:t>Dirección</w:t>
      </w:r>
      <w:r w:rsidRPr="007F03BF">
        <w:rPr>
          <w:rFonts w:ascii="Arial" w:hAnsi="Arial" w:cs="Arial"/>
        </w:rPr>
        <w:t xml:space="preserve"> del Instituto, las obligaciones que los sindicatos deben actualizar y publicar en el SIPOT de la PNT, así como en sus respectivos portales de internet son las contempladas en los siguientes artículos: </w:t>
      </w:r>
    </w:p>
    <w:p w14:paraId="1CFEE33F" w14:textId="77777777" w:rsidR="004828F3" w:rsidRPr="007F03BF" w:rsidRDefault="004828F3" w:rsidP="004828F3">
      <w:pPr>
        <w:pStyle w:val="Prrafodelista"/>
        <w:numPr>
          <w:ilvl w:val="0"/>
          <w:numId w:val="3"/>
        </w:numPr>
        <w:spacing w:before="100" w:beforeAutospacing="1" w:after="100" w:afterAutospacing="1" w:line="360" w:lineRule="auto"/>
        <w:jc w:val="both"/>
        <w:rPr>
          <w:rFonts w:ascii="Arial" w:hAnsi="Arial" w:cs="Arial"/>
          <w:sz w:val="24"/>
          <w:szCs w:val="24"/>
        </w:rPr>
      </w:pPr>
      <w:r w:rsidRPr="007F03BF">
        <w:rPr>
          <w:rFonts w:ascii="Arial" w:hAnsi="Arial" w:cs="Arial"/>
          <w:sz w:val="24"/>
          <w:szCs w:val="24"/>
        </w:rPr>
        <w:t>Artículo 121. Obligaciones comunes, en los que respecta a las fracciones I-III, XIV, XIX-XX, XXV-XXVI, XXIX, XXXI-XXXII, XXXVI, XXXVIII, XLIII, XLV, XLIX y LII,</w:t>
      </w:r>
    </w:p>
    <w:p w14:paraId="7960A028" w14:textId="77777777" w:rsidR="004828F3" w:rsidRPr="007F03BF" w:rsidRDefault="004828F3" w:rsidP="004828F3">
      <w:pPr>
        <w:pStyle w:val="Prrafodelista"/>
        <w:numPr>
          <w:ilvl w:val="0"/>
          <w:numId w:val="3"/>
        </w:numPr>
        <w:spacing w:before="100" w:beforeAutospacing="1" w:after="100" w:afterAutospacing="1" w:line="360" w:lineRule="auto"/>
        <w:jc w:val="both"/>
        <w:rPr>
          <w:rFonts w:ascii="Arial" w:hAnsi="Arial" w:cs="Arial"/>
          <w:sz w:val="24"/>
          <w:szCs w:val="24"/>
        </w:rPr>
      </w:pPr>
      <w:r w:rsidRPr="007F03BF">
        <w:rPr>
          <w:rFonts w:ascii="Arial" w:hAnsi="Arial" w:cs="Arial"/>
          <w:sz w:val="24"/>
          <w:szCs w:val="24"/>
        </w:rPr>
        <w:t>Artículo 137. Obligaciones específicas de la Junta de Conciliación y Arbitraje, en lo que respecta a las fracciones II-X,</w:t>
      </w:r>
    </w:p>
    <w:p w14:paraId="0AED082F" w14:textId="77777777" w:rsidR="004828F3" w:rsidRPr="007F03BF" w:rsidRDefault="004828F3" w:rsidP="004828F3">
      <w:pPr>
        <w:pStyle w:val="Prrafodelista"/>
        <w:numPr>
          <w:ilvl w:val="0"/>
          <w:numId w:val="3"/>
        </w:numPr>
        <w:spacing w:before="100" w:beforeAutospacing="1" w:after="100" w:afterAutospacing="1" w:line="360" w:lineRule="auto"/>
        <w:jc w:val="both"/>
        <w:rPr>
          <w:rFonts w:ascii="Arial" w:hAnsi="Arial" w:cs="Arial"/>
          <w:sz w:val="24"/>
          <w:szCs w:val="24"/>
        </w:rPr>
      </w:pPr>
      <w:r w:rsidRPr="007F03BF">
        <w:rPr>
          <w:rFonts w:ascii="Arial" w:hAnsi="Arial" w:cs="Arial"/>
          <w:sz w:val="24"/>
          <w:szCs w:val="24"/>
        </w:rPr>
        <w:t>Artículo 138. Obligaciones específicas de los Sindicatos,</w:t>
      </w:r>
    </w:p>
    <w:p w14:paraId="425FAB0C" w14:textId="77777777" w:rsidR="004828F3" w:rsidRPr="007F03BF" w:rsidRDefault="004828F3" w:rsidP="004828F3">
      <w:pPr>
        <w:pStyle w:val="Prrafodelista"/>
        <w:numPr>
          <w:ilvl w:val="0"/>
          <w:numId w:val="3"/>
        </w:numPr>
        <w:spacing w:before="100" w:beforeAutospacing="1" w:after="100" w:afterAutospacing="1" w:line="360" w:lineRule="auto"/>
        <w:jc w:val="both"/>
        <w:rPr>
          <w:rFonts w:ascii="Arial" w:hAnsi="Arial" w:cs="Arial"/>
          <w:sz w:val="24"/>
          <w:szCs w:val="24"/>
        </w:rPr>
      </w:pPr>
      <w:r w:rsidRPr="007F03BF">
        <w:rPr>
          <w:rFonts w:ascii="Arial" w:hAnsi="Arial" w:cs="Arial"/>
          <w:sz w:val="24"/>
          <w:szCs w:val="24"/>
        </w:rPr>
        <w:t>Artículo 145. Disposiciones Particulares,</w:t>
      </w:r>
    </w:p>
    <w:p w14:paraId="6B31B922" w14:textId="77777777" w:rsidR="004828F3" w:rsidRPr="007F03BF" w:rsidRDefault="004828F3" w:rsidP="004828F3">
      <w:pPr>
        <w:pStyle w:val="Prrafodelista"/>
        <w:numPr>
          <w:ilvl w:val="0"/>
          <w:numId w:val="3"/>
        </w:numPr>
        <w:spacing w:before="100" w:beforeAutospacing="1" w:after="100" w:afterAutospacing="1" w:line="360" w:lineRule="auto"/>
        <w:jc w:val="both"/>
        <w:rPr>
          <w:rFonts w:ascii="Arial" w:hAnsi="Arial" w:cs="Arial"/>
          <w:sz w:val="24"/>
          <w:szCs w:val="24"/>
        </w:rPr>
      </w:pPr>
      <w:r w:rsidRPr="007F03BF">
        <w:rPr>
          <w:rFonts w:ascii="Arial" w:hAnsi="Arial" w:cs="Arial"/>
          <w:sz w:val="24"/>
          <w:szCs w:val="24"/>
        </w:rPr>
        <w:t xml:space="preserve">Artículo 146. Disposiciones Particulares, y </w:t>
      </w:r>
    </w:p>
    <w:p w14:paraId="6D983C05" w14:textId="77777777" w:rsidR="004828F3" w:rsidRPr="007F03BF" w:rsidRDefault="004828F3" w:rsidP="004828F3">
      <w:pPr>
        <w:pStyle w:val="Prrafodelista"/>
        <w:numPr>
          <w:ilvl w:val="0"/>
          <w:numId w:val="3"/>
        </w:numPr>
        <w:spacing w:before="100" w:beforeAutospacing="1" w:after="100" w:afterAutospacing="1" w:line="360" w:lineRule="auto"/>
        <w:jc w:val="both"/>
        <w:rPr>
          <w:rFonts w:ascii="Arial" w:hAnsi="Arial" w:cs="Arial"/>
          <w:sz w:val="24"/>
          <w:szCs w:val="24"/>
        </w:rPr>
      </w:pPr>
      <w:r w:rsidRPr="007F03BF">
        <w:rPr>
          <w:rFonts w:ascii="Arial" w:hAnsi="Arial" w:cs="Arial"/>
          <w:sz w:val="24"/>
          <w:szCs w:val="24"/>
        </w:rPr>
        <w:t>Artículo 147. Disposiciones Particulares.</w:t>
      </w:r>
    </w:p>
    <w:p w14:paraId="04437099" w14:textId="77777777" w:rsidR="004828F3" w:rsidRPr="007F03BF" w:rsidRDefault="004828F3" w:rsidP="00FF7BD9">
      <w:pPr>
        <w:pStyle w:val="Ttulo2"/>
        <w:contextualSpacing/>
        <w:jc w:val="both"/>
        <w:rPr>
          <w:rFonts w:ascii="Arial" w:hAnsi="Arial" w:cs="Arial"/>
          <w:b/>
          <w:color w:val="auto"/>
          <w:sz w:val="24"/>
          <w:szCs w:val="24"/>
        </w:rPr>
      </w:pPr>
      <w:bookmarkStart w:id="24" w:name="_Toc23253007"/>
      <w:bookmarkStart w:id="25" w:name="_Toc39684006"/>
      <w:r w:rsidRPr="007F03BF">
        <w:rPr>
          <w:rFonts w:ascii="Arial" w:hAnsi="Arial" w:cs="Arial"/>
          <w:b/>
          <w:color w:val="auto"/>
          <w:sz w:val="24"/>
          <w:szCs w:val="24"/>
        </w:rPr>
        <w:t>Análisis global de cumplimiento de los Sindicatos</w:t>
      </w:r>
      <w:bookmarkEnd w:id="24"/>
      <w:bookmarkEnd w:id="25"/>
    </w:p>
    <w:p w14:paraId="2A435CE6" w14:textId="77777777" w:rsidR="004828F3" w:rsidRPr="007F03BF" w:rsidRDefault="004828F3" w:rsidP="004828F3">
      <w:pPr>
        <w:rPr>
          <w:rFonts w:ascii="Arial" w:hAnsi="Arial" w:cs="Arial"/>
        </w:rPr>
      </w:pPr>
    </w:p>
    <w:p w14:paraId="754FA9AF" w14:textId="77777777" w:rsidR="004828F3" w:rsidRPr="007F03BF" w:rsidRDefault="004828F3" w:rsidP="004828F3">
      <w:pPr>
        <w:spacing w:before="100" w:beforeAutospacing="1" w:after="100" w:afterAutospacing="1" w:line="360" w:lineRule="auto"/>
        <w:contextualSpacing/>
        <w:jc w:val="both"/>
        <w:rPr>
          <w:rFonts w:ascii="Arial" w:hAnsi="Arial" w:cs="Arial"/>
          <w:u w:val="single"/>
        </w:rPr>
      </w:pPr>
      <w:r w:rsidRPr="007F03BF">
        <w:rPr>
          <w:rFonts w:ascii="Arial" w:hAnsi="Arial" w:cs="Arial"/>
          <w:u w:val="single"/>
        </w:rPr>
        <w:t>Índices Globales de Cumplimiento de las obligaciones de transparencia</w:t>
      </w:r>
    </w:p>
    <w:p w14:paraId="0C2D9F61" w14:textId="77777777" w:rsidR="004828F3" w:rsidRPr="007F03BF" w:rsidRDefault="004828F3" w:rsidP="004828F3">
      <w:pPr>
        <w:spacing w:before="100" w:beforeAutospacing="1" w:after="100" w:afterAutospacing="1" w:line="360" w:lineRule="auto"/>
        <w:contextualSpacing/>
        <w:jc w:val="both"/>
        <w:rPr>
          <w:rFonts w:ascii="Arial" w:hAnsi="Arial" w:cs="Arial"/>
        </w:rPr>
      </w:pPr>
    </w:p>
    <w:p w14:paraId="4D480901" w14:textId="77777777" w:rsidR="004828F3" w:rsidRPr="007F03BF" w:rsidRDefault="004828F3" w:rsidP="004828F3">
      <w:pPr>
        <w:spacing w:before="100" w:beforeAutospacing="1" w:after="100" w:afterAutospacing="1" w:line="360" w:lineRule="auto"/>
        <w:contextualSpacing/>
        <w:jc w:val="both"/>
        <w:rPr>
          <w:rFonts w:ascii="Arial" w:hAnsi="Arial" w:cs="Arial"/>
        </w:rPr>
      </w:pPr>
      <w:r w:rsidRPr="007F03BF">
        <w:rPr>
          <w:rFonts w:ascii="Arial" w:hAnsi="Arial" w:cs="Arial"/>
        </w:rPr>
        <w:t xml:space="preserve">El ámbito de los Sindicatos obtuvo un IGOT de </w:t>
      </w:r>
      <w:r w:rsidR="00B2542B" w:rsidRPr="007F03BF">
        <w:rPr>
          <w:rFonts w:ascii="Arial" w:hAnsi="Arial" w:cs="Arial"/>
        </w:rPr>
        <w:t>97.26</w:t>
      </w:r>
      <w:r w:rsidRPr="007F03BF">
        <w:rPr>
          <w:rFonts w:ascii="Arial" w:hAnsi="Arial" w:cs="Arial"/>
        </w:rPr>
        <w:t xml:space="preserve">%, el cual está compuesto por un índice de </w:t>
      </w:r>
      <w:r w:rsidR="00B2542B" w:rsidRPr="007F03BF">
        <w:rPr>
          <w:rFonts w:ascii="Arial" w:hAnsi="Arial" w:cs="Arial"/>
        </w:rPr>
        <w:t>96.85</w:t>
      </w:r>
      <w:r w:rsidRPr="007F03BF">
        <w:rPr>
          <w:rFonts w:ascii="Arial" w:hAnsi="Arial" w:cs="Arial"/>
        </w:rPr>
        <w:t xml:space="preserve">% en lo que corresponde a la Plataforma Nacional de Transparencia (PNT) y un índice de </w:t>
      </w:r>
      <w:r w:rsidR="00B2542B" w:rsidRPr="007F03BF">
        <w:rPr>
          <w:rFonts w:ascii="Arial" w:hAnsi="Arial" w:cs="Arial"/>
        </w:rPr>
        <w:t>97.66</w:t>
      </w:r>
      <w:r w:rsidRPr="007F03BF">
        <w:rPr>
          <w:rFonts w:ascii="Arial" w:hAnsi="Arial" w:cs="Arial"/>
        </w:rPr>
        <w:t>% en lo que se refiere al Portal de Transparencia (</w:t>
      </w:r>
      <w:r w:rsidR="00677E37" w:rsidRPr="007F03BF">
        <w:rPr>
          <w:rFonts w:ascii="Arial" w:hAnsi="Arial" w:cs="Arial"/>
        </w:rPr>
        <w:t>PI</w:t>
      </w:r>
      <w:r w:rsidRPr="007F03BF">
        <w:rPr>
          <w:rFonts w:ascii="Arial" w:hAnsi="Arial" w:cs="Arial"/>
        </w:rPr>
        <w:t xml:space="preserve">). </w:t>
      </w:r>
    </w:p>
    <w:p w14:paraId="5F8E511D" w14:textId="77777777" w:rsidR="004828F3" w:rsidRPr="007F03BF" w:rsidRDefault="004828F3" w:rsidP="004828F3">
      <w:pPr>
        <w:spacing w:before="100" w:beforeAutospacing="1" w:after="100" w:afterAutospacing="1" w:line="360" w:lineRule="auto"/>
        <w:contextualSpacing/>
        <w:jc w:val="both"/>
        <w:rPr>
          <w:rFonts w:ascii="Arial" w:hAnsi="Arial" w:cs="Arial"/>
        </w:rPr>
      </w:pPr>
    </w:p>
    <w:p w14:paraId="71CAB8FF" w14:textId="77777777" w:rsidR="00B2542B" w:rsidRPr="007F03BF" w:rsidRDefault="00B2542B" w:rsidP="00B2542B">
      <w:pPr>
        <w:spacing w:before="100" w:beforeAutospacing="1" w:after="100" w:afterAutospacing="1" w:line="360" w:lineRule="auto"/>
        <w:contextualSpacing/>
        <w:jc w:val="both"/>
        <w:rPr>
          <w:rFonts w:ascii="Arial" w:hAnsi="Arial" w:cs="Arial"/>
        </w:rPr>
      </w:pPr>
      <w:r w:rsidRPr="007F03BF">
        <w:rPr>
          <w:rFonts w:ascii="Arial" w:hAnsi="Arial" w:cs="Arial"/>
        </w:rPr>
        <w:t xml:space="preserve">El Sindicato TJA atendió las recomendaciones; no obstante, persisten áreas de oportunidad por lo que se encuentra en un cumplimiento parcial con un IGOT superior a 90%. </w:t>
      </w:r>
    </w:p>
    <w:p w14:paraId="09280B52" w14:textId="77777777" w:rsidR="00B2542B" w:rsidRPr="007F03BF" w:rsidRDefault="00B2542B" w:rsidP="00B2542B">
      <w:pPr>
        <w:spacing w:before="100" w:beforeAutospacing="1" w:after="100" w:afterAutospacing="1" w:line="360" w:lineRule="auto"/>
        <w:contextualSpacing/>
        <w:jc w:val="both"/>
        <w:rPr>
          <w:rFonts w:ascii="Arial" w:hAnsi="Arial" w:cs="Arial"/>
        </w:rPr>
      </w:pPr>
    </w:p>
    <w:p w14:paraId="604705DB" w14:textId="058C3C34" w:rsidR="00B2542B" w:rsidRPr="007F03BF" w:rsidRDefault="00B2542B" w:rsidP="00B2542B">
      <w:pPr>
        <w:spacing w:before="100" w:beforeAutospacing="1" w:after="100" w:afterAutospacing="1" w:line="360" w:lineRule="auto"/>
        <w:contextualSpacing/>
        <w:jc w:val="both"/>
        <w:rPr>
          <w:rFonts w:ascii="Arial" w:hAnsi="Arial" w:cs="Arial"/>
        </w:rPr>
      </w:pPr>
      <w:r w:rsidRPr="007F03BF">
        <w:rPr>
          <w:rFonts w:ascii="Arial" w:hAnsi="Arial" w:cs="Arial"/>
        </w:rPr>
        <w:t xml:space="preserve">Con relación a la Segunda Evaluación Vinculante 2019, este ámbito tuvo un incremento, puesto que pasó de tener un IGOT de 87.2% a uno de 97.26%; por lo </w:t>
      </w:r>
      <w:r w:rsidRPr="007F03BF">
        <w:rPr>
          <w:rFonts w:ascii="Arial" w:hAnsi="Arial" w:cs="Arial"/>
        </w:rPr>
        <w:lastRenderedPageBreak/>
        <w:t xml:space="preserve">que se encuentra en un cumplimiento parcial de las obligaciones de transparencia de la Ley de Transparencia </w:t>
      </w:r>
      <w:r w:rsidR="00D47F3C" w:rsidRPr="007F03BF">
        <w:rPr>
          <w:rFonts w:ascii="Arial" w:hAnsi="Arial" w:cs="Arial"/>
        </w:rPr>
        <w:t>local</w:t>
      </w:r>
      <w:r w:rsidRPr="007F03BF">
        <w:rPr>
          <w:rFonts w:ascii="Arial" w:hAnsi="Arial" w:cs="Arial"/>
        </w:rPr>
        <w:t xml:space="preserve">. Este ámbito tuvo un incremento de 10.06 puntos dentro de su índice. </w:t>
      </w:r>
    </w:p>
    <w:p w14:paraId="1FB87DD3" w14:textId="77777777" w:rsidR="00B2542B" w:rsidRPr="007F03BF" w:rsidRDefault="00B2542B" w:rsidP="00B2542B">
      <w:pPr>
        <w:spacing w:before="100" w:beforeAutospacing="1" w:after="100" w:afterAutospacing="1" w:line="360" w:lineRule="auto"/>
        <w:contextualSpacing/>
        <w:jc w:val="both"/>
        <w:rPr>
          <w:rFonts w:ascii="Arial" w:hAnsi="Arial" w:cs="Arial"/>
        </w:rPr>
      </w:pPr>
    </w:p>
    <w:p w14:paraId="03BFC446" w14:textId="77777777" w:rsidR="00B2542B" w:rsidRPr="007F03BF" w:rsidRDefault="00B2542B" w:rsidP="00B2542B">
      <w:pPr>
        <w:spacing w:before="100" w:beforeAutospacing="1" w:after="100" w:afterAutospacing="1" w:line="360" w:lineRule="auto"/>
        <w:contextualSpacing/>
        <w:jc w:val="both"/>
        <w:rPr>
          <w:rFonts w:ascii="Arial" w:hAnsi="Arial" w:cs="Arial"/>
          <w:u w:val="single"/>
        </w:rPr>
      </w:pPr>
      <w:r w:rsidRPr="007F03BF">
        <w:rPr>
          <w:rFonts w:ascii="Arial" w:hAnsi="Arial" w:cs="Arial"/>
          <w:u w:val="single"/>
        </w:rPr>
        <w:t xml:space="preserve">Cumplimiento diferenciado por artículos </w:t>
      </w:r>
    </w:p>
    <w:p w14:paraId="6ED962E1" w14:textId="77777777" w:rsidR="00B2542B" w:rsidRPr="007F03BF" w:rsidRDefault="00B2542B" w:rsidP="00B2542B">
      <w:pPr>
        <w:spacing w:before="100" w:beforeAutospacing="1" w:after="100" w:afterAutospacing="1" w:line="360" w:lineRule="auto"/>
        <w:contextualSpacing/>
        <w:jc w:val="both"/>
        <w:rPr>
          <w:rFonts w:ascii="Arial" w:hAnsi="Arial" w:cs="Arial"/>
          <w:u w:val="single"/>
        </w:rPr>
      </w:pPr>
    </w:p>
    <w:p w14:paraId="24B34D72" w14:textId="77777777" w:rsidR="00B2542B" w:rsidRPr="007F03BF" w:rsidRDefault="00B2542B" w:rsidP="00B2542B">
      <w:pPr>
        <w:spacing w:before="100" w:beforeAutospacing="1" w:after="100" w:afterAutospacing="1" w:line="360" w:lineRule="auto"/>
        <w:contextualSpacing/>
        <w:jc w:val="both"/>
        <w:rPr>
          <w:rFonts w:ascii="Arial" w:hAnsi="Arial" w:cs="Arial"/>
        </w:rPr>
      </w:pPr>
      <w:r w:rsidRPr="007F03BF">
        <w:rPr>
          <w:rFonts w:ascii="Arial" w:hAnsi="Arial" w:cs="Arial"/>
        </w:rPr>
        <w:t xml:space="preserve">Con relación al tipo de obligaciones de transparencia, este ámbito ha cumplido parcialmente con sus obligaciones comunes, específicas y disposiciones particulares, obteniendo un ICP de 96.84%, 96.90% y 100%, respectivamente. </w:t>
      </w:r>
    </w:p>
    <w:p w14:paraId="0DAEE40F" w14:textId="77777777" w:rsidR="00B2542B" w:rsidRPr="007F03BF" w:rsidRDefault="00B2542B" w:rsidP="00B2542B">
      <w:pPr>
        <w:spacing w:before="100" w:beforeAutospacing="1" w:after="100" w:afterAutospacing="1" w:line="360" w:lineRule="auto"/>
        <w:contextualSpacing/>
        <w:jc w:val="both"/>
        <w:rPr>
          <w:rFonts w:ascii="Arial" w:hAnsi="Arial" w:cs="Arial"/>
        </w:rPr>
      </w:pPr>
    </w:p>
    <w:p w14:paraId="096FDE88" w14:textId="77777777" w:rsidR="00B2542B" w:rsidRPr="007F03BF" w:rsidRDefault="00B2542B" w:rsidP="00B2542B">
      <w:pPr>
        <w:spacing w:before="100" w:beforeAutospacing="1" w:after="100" w:afterAutospacing="1" w:line="360" w:lineRule="auto"/>
        <w:contextualSpacing/>
        <w:jc w:val="both"/>
        <w:rPr>
          <w:rFonts w:ascii="Arial" w:hAnsi="Arial" w:cs="Arial"/>
        </w:rPr>
      </w:pPr>
      <w:r w:rsidRPr="007F03BF">
        <w:rPr>
          <w:rFonts w:ascii="Arial" w:hAnsi="Arial" w:cs="Arial"/>
        </w:rPr>
        <w:t xml:space="preserve">En esta misma línea, por artículo obtuvieron los siguientes índices con relación a la Primera Evaluación Vinculante: </w:t>
      </w:r>
    </w:p>
    <w:p w14:paraId="23B8BB09" w14:textId="77777777" w:rsidR="004828F3" w:rsidRPr="007F03BF" w:rsidRDefault="004828F3" w:rsidP="004828F3">
      <w:pPr>
        <w:spacing w:before="100" w:beforeAutospacing="1" w:after="100" w:afterAutospacing="1" w:line="360" w:lineRule="auto"/>
        <w:contextualSpacing/>
        <w:jc w:val="both"/>
        <w:rPr>
          <w:rFonts w:ascii="Arial" w:hAnsi="Arial" w:cs="Arial"/>
        </w:rPr>
      </w:pPr>
    </w:p>
    <w:tbl>
      <w:tblPr>
        <w:tblStyle w:val="Tablaconcuadrcula"/>
        <w:tblW w:w="0" w:type="auto"/>
        <w:tblLook w:val="04A0" w:firstRow="1" w:lastRow="0" w:firstColumn="1" w:lastColumn="0" w:noHBand="0" w:noVBand="1"/>
      </w:tblPr>
      <w:tblGrid>
        <w:gridCol w:w="3659"/>
        <w:gridCol w:w="2148"/>
        <w:gridCol w:w="2092"/>
        <w:gridCol w:w="12"/>
        <w:gridCol w:w="908"/>
      </w:tblGrid>
      <w:tr w:rsidR="00B2542B" w:rsidRPr="007F03BF" w14:paraId="12C22222" w14:textId="77777777" w:rsidTr="008C4FD7">
        <w:tc>
          <w:tcPr>
            <w:tcW w:w="3659" w:type="dxa"/>
            <w:shd w:val="clear" w:color="auto" w:fill="70AD47" w:themeFill="accent6"/>
            <w:vAlign w:val="center"/>
          </w:tcPr>
          <w:p w14:paraId="00EC0185" w14:textId="77777777"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Artículo</w:t>
            </w:r>
          </w:p>
        </w:tc>
        <w:tc>
          <w:tcPr>
            <w:tcW w:w="2148" w:type="dxa"/>
            <w:shd w:val="clear" w:color="auto" w:fill="70AD47" w:themeFill="accent6"/>
            <w:vAlign w:val="center"/>
          </w:tcPr>
          <w:p w14:paraId="7902F619" w14:textId="67C923FC"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ICP – 2ª Evaluación 20</w:t>
            </w:r>
            <w:r w:rsidR="00D47F3C" w:rsidRPr="007F03BF">
              <w:rPr>
                <w:rFonts w:ascii="Arial" w:hAnsi="Arial" w:cs="Arial"/>
                <w:b/>
                <w:bCs/>
                <w:color w:val="000000" w:themeColor="text1"/>
                <w:sz w:val="20"/>
                <w:szCs w:val="20"/>
              </w:rPr>
              <w:t>19</w:t>
            </w:r>
          </w:p>
        </w:tc>
        <w:tc>
          <w:tcPr>
            <w:tcW w:w="2092" w:type="dxa"/>
            <w:shd w:val="clear" w:color="auto" w:fill="70AD47" w:themeFill="accent6"/>
            <w:vAlign w:val="center"/>
          </w:tcPr>
          <w:p w14:paraId="01A8126D" w14:textId="142FCC49"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ICP – 1ª Evaluación 20</w:t>
            </w:r>
            <w:r w:rsidR="00D47F3C" w:rsidRPr="007F03BF">
              <w:rPr>
                <w:rFonts w:ascii="Arial" w:hAnsi="Arial" w:cs="Arial"/>
                <w:b/>
                <w:bCs/>
                <w:color w:val="000000" w:themeColor="text1"/>
                <w:sz w:val="20"/>
                <w:szCs w:val="20"/>
              </w:rPr>
              <w:t>20</w:t>
            </w:r>
          </w:p>
        </w:tc>
        <w:tc>
          <w:tcPr>
            <w:tcW w:w="920" w:type="dxa"/>
            <w:gridSpan w:val="2"/>
            <w:shd w:val="clear" w:color="auto" w:fill="70AD47" w:themeFill="accent6"/>
            <w:vAlign w:val="center"/>
          </w:tcPr>
          <w:p w14:paraId="27D7897C" w14:textId="77777777" w:rsidR="00B2542B" w:rsidRPr="007F03BF" w:rsidRDefault="00B2542B" w:rsidP="00B2542B">
            <w:pPr>
              <w:spacing w:before="100" w:beforeAutospacing="1" w:after="100" w:afterAutospacing="1" w:line="360" w:lineRule="auto"/>
              <w:contextualSpacing/>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B2542B" w:rsidRPr="007F03BF" w14:paraId="7C2CBAFD" w14:textId="77777777" w:rsidTr="00B2542B">
        <w:tc>
          <w:tcPr>
            <w:tcW w:w="3659" w:type="dxa"/>
          </w:tcPr>
          <w:p w14:paraId="3CA4274A" w14:textId="77777777" w:rsidR="00B2542B" w:rsidRPr="007F03BF" w:rsidRDefault="00B2542B" w:rsidP="00B2542B">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121 – Obligaciones Comunes</w:t>
            </w:r>
          </w:p>
        </w:tc>
        <w:tc>
          <w:tcPr>
            <w:tcW w:w="2148" w:type="dxa"/>
            <w:vAlign w:val="center"/>
          </w:tcPr>
          <w:p w14:paraId="0084152B" w14:textId="77777777" w:rsidR="00B2542B" w:rsidRPr="007F03BF" w:rsidRDefault="00B2542B" w:rsidP="00B2542B">
            <w:pPr>
              <w:jc w:val="center"/>
              <w:rPr>
                <w:rFonts w:ascii="Calibri" w:hAnsi="Calibri"/>
                <w:color w:val="000000"/>
              </w:rPr>
            </w:pPr>
            <w:r w:rsidRPr="007F03BF">
              <w:rPr>
                <w:rFonts w:ascii="Calibri" w:hAnsi="Calibri"/>
                <w:color w:val="000000"/>
              </w:rPr>
              <w:t>84.32</w:t>
            </w:r>
          </w:p>
        </w:tc>
        <w:tc>
          <w:tcPr>
            <w:tcW w:w="2104" w:type="dxa"/>
            <w:gridSpan w:val="2"/>
            <w:vAlign w:val="center"/>
          </w:tcPr>
          <w:p w14:paraId="662CD528" w14:textId="77777777" w:rsidR="00B2542B" w:rsidRPr="007F03BF" w:rsidRDefault="00B2542B" w:rsidP="00B2542B">
            <w:pPr>
              <w:jc w:val="center"/>
              <w:rPr>
                <w:rFonts w:ascii="Calibri" w:hAnsi="Calibri"/>
                <w:color w:val="000000"/>
              </w:rPr>
            </w:pPr>
            <w:r w:rsidRPr="007F03BF">
              <w:rPr>
                <w:rFonts w:ascii="Calibri" w:hAnsi="Calibri"/>
                <w:color w:val="000000"/>
              </w:rPr>
              <w:t>96.84</w:t>
            </w:r>
          </w:p>
        </w:tc>
        <w:tc>
          <w:tcPr>
            <w:tcW w:w="908" w:type="dxa"/>
            <w:vAlign w:val="center"/>
          </w:tcPr>
          <w:p w14:paraId="60FA44C2" w14:textId="77777777" w:rsidR="00B2542B" w:rsidRPr="007F03BF" w:rsidRDefault="00B2542B" w:rsidP="00B2542B">
            <w:pPr>
              <w:jc w:val="center"/>
              <w:rPr>
                <w:rFonts w:ascii="Calibri" w:hAnsi="Calibri"/>
                <w:color w:val="000000"/>
              </w:rPr>
            </w:pPr>
            <w:r w:rsidRPr="007F03BF">
              <w:rPr>
                <w:rFonts w:ascii="Calibri" w:hAnsi="Calibri"/>
                <w:color w:val="000000"/>
              </w:rPr>
              <w:t>12.52</w:t>
            </w:r>
          </w:p>
        </w:tc>
      </w:tr>
      <w:tr w:rsidR="00B2542B" w:rsidRPr="007F03BF" w14:paraId="55438717" w14:textId="77777777" w:rsidTr="00B2542B">
        <w:tc>
          <w:tcPr>
            <w:tcW w:w="3659" w:type="dxa"/>
          </w:tcPr>
          <w:p w14:paraId="5B0E670E" w14:textId="77777777" w:rsidR="00B2542B" w:rsidRPr="007F03BF" w:rsidRDefault="00B2542B" w:rsidP="00B2542B">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 xml:space="preserve">137 – Obligaciones Específicas </w:t>
            </w:r>
          </w:p>
        </w:tc>
        <w:tc>
          <w:tcPr>
            <w:tcW w:w="2148" w:type="dxa"/>
            <w:vAlign w:val="center"/>
          </w:tcPr>
          <w:p w14:paraId="52947AB2" w14:textId="77777777" w:rsidR="00B2542B" w:rsidRPr="007F03BF" w:rsidRDefault="00B2542B" w:rsidP="00B2542B">
            <w:pPr>
              <w:jc w:val="center"/>
              <w:rPr>
                <w:rFonts w:ascii="Calibri" w:hAnsi="Calibri"/>
                <w:color w:val="000000"/>
              </w:rPr>
            </w:pPr>
            <w:r w:rsidRPr="007F03BF">
              <w:rPr>
                <w:rFonts w:ascii="Calibri" w:hAnsi="Calibri"/>
                <w:color w:val="000000"/>
              </w:rPr>
              <w:t>99.6</w:t>
            </w:r>
          </w:p>
        </w:tc>
        <w:tc>
          <w:tcPr>
            <w:tcW w:w="2104" w:type="dxa"/>
            <w:gridSpan w:val="2"/>
            <w:vAlign w:val="center"/>
          </w:tcPr>
          <w:p w14:paraId="2533ED1C" w14:textId="77777777" w:rsidR="00B2542B" w:rsidRPr="007F03BF" w:rsidRDefault="00B2542B" w:rsidP="00B2542B">
            <w:pPr>
              <w:jc w:val="center"/>
              <w:rPr>
                <w:rFonts w:ascii="Calibri" w:hAnsi="Calibri"/>
                <w:color w:val="000000"/>
              </w:rPr>
            </w:pPr>
            <w:r w:rsidRPr="007F03BF">
              <w:rPr>
                <w:rFonts w:ascii="Calibri" w:hAnsi="Calibri"/>
                <w:color w:val="000000"/>
              </w:rPr>
              <w:t>99.60</w:t>
            </w:r>
          </w:p>
        </w:tc>
        <w:tc>
          <w:tcPr>
            <w:tcW w:w="908" w:type="dxa"/>
            <w:vAlign w:val="center"/>
          </w:tcPr>
          <w:p w14:paraId="541C1AF8" w14:textId="77777777" w:rsidR="00B2542B" w:rsidRPr="007F03BF" w:rsidRDefault="00C63977" w:rsidP="00B2542B">
            <w:pPr>
              <w:jc w:val="center"/>
              <w:rPr>
                <w:rFonts w:ascii="Calibri" w:hAnsi="Calibri"/>
                <w:color w:val="000000"/>
              </w:rPr>
            </w:pPr>
            <w:r w:rsidRPr="007F03BF">
              <w:rPr>
                <w:rFonts w:ascii="Calibri" w:hAnsi="Calibri"/>
                <w:color w:val="000000"/>
              </w:rPr>
              <w:t>0</w:t>
            </w:r>
          </w:p>
        </w:tc>
      </w:tr>
      <w:tr w:rsidR="00B2542B" w:rsidRPr="007F03BF" w14:paraId="725780D7" w14:textId="77777777" w:rsidTr="00B2542B">
        <w:tc>
          <w:tcPr>
            <w:tcW w:w="3659" w:type="dxa"/>
          </w:tcPr>
          <w:p w14:paraId="1AA265E2" w14:textId="77777777" w:rsidR="00B2542B" w:rsidRPr="007F03BF" w:rsidRDefault="00B2542B" w:rsidP="00B2542B">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 xml:space="preserve">138 – Obligaciones Específicas </w:t>
            </w:r>
          </w:p>
        </w:tc>
        <w:tc>
          <w:tcPr>
            <w:tcW w:w="2148" w:type="dxa"/>
            <w:vAlign w:val="center"/>
          </w:tcPr>
          <w:p w14:paraId="632B517C" w14:textId="77777777" w:rsidR="00B2542B" w:rsidRPr="007F03BF" w:rsidRDefault="00B2542B" w:rsidP="00B2542B">
            <w:pPr>
              <w:jc w:val="center"/>
              <w:rPr>
                <w:rFonts w:ascii="Calibri" w:hAnsi="Calibri"/>
                <w:color w:val="000000"/>
              </w:rPr>
            </w:pPr>
            <w:r w:rsidRPr="007F03BF">
              <w:rPr>
                <w:rFonts w:ascii="Calibri" w:hAnsi="Calibri"/>
                <w:color w:val="000000"/>
              </w:rPr>
              <w:t>79.57</w:t>
            </w:r>
          </w:p>
        </w:tc>
        <w:tc>
          <w:tcPr>
            <w:tcW w:w="2104" w:type="dxa"/>
            <w:gridSpan w:val="2"/>
            <w:vAlign w:val="center"/>
          </w:tcPr>
          <w:p w14:paraId="0FE1FFB4" w14:textId="77777777" w:rsidR="00B2542B" w:rsidRPr="007F03BF" w:rsidRDefault="00B2542B" w:rsidP="00B2542B">
            <w:pPr>
              <w:jc w:val="center"/>
              <w:rPr>
                <w:rFonts w:ascii="Calibri" w:hAnsi="Calibri"/>
                <w:color w:val="000000"/>
              </w:rPr>
            </w:pPr>
            <w:r w:rsidRPr="007F03BF">
              <w:rPr>
                <w:rFonts w:ascii="Calibri" w:hAnsi="Calibri"/>
                <w:color w:val="000000"/>
              </w:rPr>
              <w:t>94.60</w:t>
            </w:r>
          </w:p>
        </w:tc>
        <w:tc>
          <w:tcPr>
            <w:tcW w:w="908" w:type="dxa"/>
            <w:vAlign w:val="center"/>
          </w:tcPr>
          <w:p w14:paraId="6C1B6751" w14:textId="77777777" w:rsidR="00B2542B" w:rsidRPr="007F03BF" w:rsidRDefault="00B2542B" w:rsidP="00B2542B">
            <w:pPr>
              <w:jc w:val="center"/>
              <w:rPr>
                <w:rFonts w:ascii="Calibri" w:hAnsi="Calibri"/>
                <w:color w:val="000000"/>
              </w:rPr>
            </w:pPr>
            <w:r w:rsidRPr="007F03BF">
              <w:rPr>
                <w:rFonts w:ascii="Calibri" w:hAnsi="Calibri"/>
                <w:color w:val="000000"/>
              </w:rPr>
              <w:t>15.03</w:t>
            </w:r>
          </w:p>
        </w:tc>
      </w:tr>
      <w:tr w:rsidR="00B2542B" w:rsidRPr="007F03BF" w14:paraId="58044CD7" w14:textId="77777777" w:rsidTr="00B2542B">
        <w:tc>
          <w:tcPr>
            <w:tcW w:w="3659" w:type="dxa"/>
          </w:tcPr>
          <w:p w14:paraId="21F6A008" w14:textId="77777777" w:rsidR="00B2542B" w:rsidRPr="007F03BF" w:rsidRDefault="00B2542B" w:rsidP="00B2542B">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145 – Portal de Transparencia</w:t>
            </w:r>
          </w:p>
        </w:tc>
        <w:tc>
          <w:tcPr>
            <w:tcW w:w="2148" w:type="dxa"/>
            <w:vAlign w:val="center"/>
          </w:tcPr>
          <w:p w14:paraId="0D662A5A" w14:textId="77777777" w:rsidR="00B2542B" w:rsidRPr="007F03BF" w:rsidRDefault="00B2542B" w:rsidP="00B2542B">
            <w:pPr>
              <w:jc w:val="center"/>
              <w:rPr>
                <w:rFonts w:ascii="Calibri" w:hAnsi="Calibri"/>
                <w:color w:val="000000"/>
              </w:rPr>
            </w:pPr>
            <w:r w:rsidRPr="007F03BF">
              <w:rPr>
                <w:rFonts w:ascii="Calibri" w:hAnsi="Calibri"/>
                <w:color w:val="000000"/>
              </w:rPr>
              <w:t>93.75</w:t>
            </w:r>
          </w:p>
        </w:tc>
        <w:tc>
          <w:tcPr>
            <w:tcW w:w="2104" w:type="dxa"/>
            <w:gridSpan w:val="2"/>
            <w:vAlign w:val="center"/>
          </w:tcPr>
          <w:p w14:paraId="23737133" w14:textId="77777777" w:rsidR="00B2542B" w:rsidRPr="007F03BF" w:rsidRDefault="00B2542B" w:rsidP="00B2542B">
            <w:pPr>
              <w:jc w:val="center"/>
              <w:rPr>
                <w:rFonts w:ascii="Calibri" w:hAnsi="Calibri"/>
                <w:color w:val="000000"/>
              </w:rPr>
            </w:pPr>
            <w:r w:rsidRPr="007F03BF">
              <w:rPr>
                <w:rFonts w:ascii="Calibri" w:hAnsi="Calibri"/>
                <w:color w:val="000000"/>
              </w:rPr>
              <w:t>100</w:t>
            </w:r>
          </w:p>
        </w:tc>
        <w:tc>
          <w:tcPr>
            <w:tcW w:w="908" w:type="dxa"/>
            <w:vAlign w:val="center"/>
          </w:tcPr>
          <w:p w14:paraId="1ECA7557" w14:textId="77777777" w:rsidR="00B2542B" w:rsidRPr="007F03BF" w:rsidRDefault="00B2542B" w:rsidP="00B2542B">
            <w:pPr>
              <w:jc w:val="center"/>
              <w:rPr>
                <w:rFonts w:ascii="Calibri" w:hAnsi="Calibri"/>
                <w:color w:val="000000"/>
              </w:rPr>
            </w:pPr>
            <w:r w:rsidRPr="007F03BF">
              <w:rPr>
                <w:rFonts w:ascii="Calibri" w:hAnsi="Calibri"/>
                <w:color w:val="000000"/>
              </w:rPr>
              <w:t>6.25</w:t>
            </w:r>
          </w:p>
        </w:tc>
      </w:tr>
      <w:tr w:rsidR="00B2542B" w:rsidRPr="007F03BF" w14:paraId="34D85704" w14:textId="77777777" w:rsidTr="00B2542B">
        <w:tc>
          <w:tcPr>
            <w:tcW w:w="3659" w:type="dxa"/>
          </w:tcPr>
          <w:p w14:paraId="3804C3D3" w14:textId="77777777" w:rsidR="00B2542B" w:rsidRPr="007F03BF" w:rsidRDefault="00B2542B" w:rsidP="00B2542B">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146 – Calendario de actualización</w:t>
            </w:r>
          </w:p>
        </w:tc>
        <w:tc>
          <w:tcPr>
            <w:tcW w:w="2148" w:type="dxa"/>
            <w:vAlign w:val="center"/>
          </w:tcPr>
          <w:p w14:paraId="29D948D3" w14:textId="77777777" w:rsidR="00B2542B" w:rsidRPr="007F03BF" w:rsidRDefault="00B2542B" w:rsidP="00B2542B">
            <w:pPr>
              <w:jc w:val="center"/>
              <w:rPr>
                <w:rFonts w:ascii="Calibri" w:hAnsi="Calibri"/>
                <w:color w:val="000000"/>
              </w:rPr>
            </w:pPr>
            <w:r w:rsidRPr="007F03BF">
              <w:rPr>
                <w:rFonts w:ascii="Calibri" w:hAnsi="Calibri"/>
                <w:color w:val="000000"/>
              </w:rPr>
              <w:t>100</w:t>
            </w:r>
          </w:p>
        </w:tc>
        <w:tc>
          <w:tcPr>
            <w:tcW w:w="2104" w:type="dxa"/>
            <w:gridSpan w:val="2"/>
            <w:vAlign w:val="center"/>
          </w:tcPr>
          <w:p w14:paraId="0FCB91F5" w14:textId="77777777" w:rsidR="00B2542B" w:rsidRPr="007F03BF" w:rsidRDefault="00B2542B" w:rsidP="00B2542B">
            <w:pPr>
              <w:jc w:val="center"/>
              <w:rPr>
                <w:rFonts w:ascii="Calibri" w:hAnsi="Calibri"/>
                <w:color w:val="000000"/>
              </w:rPr>
            </w:pPr>
            <w:r w:rsidRPr="007F03BF">
              <w:rPr>
                <w:rFonts w:ascii="Calibri" w:hAnsi="Calibri"/>
                <w:color w:val="000000"/>
              </w:rPr>
              <w:t>100</w:t>
            </w:r>
          </w:p>
        </w:tc>
        <w:tc>
          <w:tcPr>
            <w:tcW w:w="908" w:type="dxa"/>
            <w:vAlign w:val="center"/>
          </w:tcPr>
          <w:p w14:paraId="0FAB2C8A" w14:textId="77777777" w:rsidR="00B2542B" w:rsidRPr="007F03BF" w:rsidRDefault="00C63977" w:rsidP="00B2542B">
            <w:pPr>
              <w:jc w:val="center"/>
              <w:rPr>
                <w:rFonts w:ascii="Calibri" w:hAnsi="Calibri"/>
                <w:color w:val="000000"/>
              </w:rPr>
            </w:pPr>
            <w:r w:rsidRPr="007F03BF">
              <w:rPr>
                <w:rFonts w:ascii="Calibri" w:hAnsi="Calibri"/>
                <w:color w:val="000000"/>
              </w:rPr>
              <w:t>-</w:t>
            </w:r>
          </w:p>
        </w:tc>
      </w:tr>
      <w:tr w:rsidR="00B2542B" w:rsidRPr="007F03BF" w14:paraId="074A2EAA" w14:textId="77777777" w:rsidTr="00B2542B">
        <w:tc>
          <w:tcPr>
            <w:tcW w:w="3659" w:type="dxa"/>
          </w:tcPr>
          <w:p w14:paraId="6A8F06B9" w14:textId="77777777" w:rsidR="00B2542B" w:rsidRPr="007F03BF" w:rsidRDefault="00B2542B" w:rsidP="00B2542B">
            <w:pPr>
              <w:spacing w:before="100" w:beforeAutospacing="1" w:after="100" w:afterAutospacing="1" w:line="360" w:lineRule="auto"/>
              <w:contextualSpacing/>
              <w:rPr>
                <w:rFonts w:ascii="Arial" w:hAnsi="Arial" w:cs="Arial"/>
                <w:b/>
                <w:bCs/>
                <w:sz w:val="20"/>
                <w:szCs w:val="20"/>
              </w:rPr>
            </w:pPr>
            <w:r w:rsidRPr="007F03BF">
              <w:rPr>
                <w:rFonts w:ascii="Arial" w:hAnsi="Arial" w:cs="Arial"/>
                <w:b/>
                <w:bCs/>
                <w:sz w:val="20"/>
                <w:szCs w:val="20"/>
              </w:rPr>
              <w:t xml:space="preserve">147 – Informes respecto de recursos otorgados por el sujeto obligado a terceros </w:t>
            </w:r>
          </w:p>
        </w:tc>
        <w:tc>
          <w:tcPr>
            <w:tcW w:w="2148" w:type="dxa"/>
            <w:vAlign w:val="center"/>
          </w:tcPr>
          <w:p w14:paraId="0C01D1FC" w14:textId="77777777" w:rsidR="00B2542B" w:rsidRPr="007F03BF" w:rsidRDefault="00B2542B" w:rsidP="00B2542B">
            <w:pPr>
              <w:jc w:val="center"/>
              <w:rPr>
                <w:rFonts w:ascii="Calibri" w:hAnsi="Calibri"/>
                <w:color w:val="000000"/>
              </w:rPr>
            </w:pPr>
            <w:r w:rsidRPr="007F03BF">
              <w:rPr>
                <w:rFonts w:ascii="Calibri" w:hAnsi="Calibri"/>
                <w:color w:val="000000"/>
              </w:rPr>
              <w:t>100</w:t>
            </w:r>
          </w:p>
        </w:tc>
        <w:tc>
          <w:tcPr>
            <w:tcW w:w="2104" w:type="dxa"/>
            <w:gridSpan w:val="2"/>
            <w:vAlign w:val="center"/>
          </w:tcPr>
          <w:p w14:paraId="3CE15DCE" w14:textId="77777777" w:rsidR="00B2542B" w:rsidRPr="007F03BF" w:rsidRDefault="00B2542B" w:rsidP="00B2542B">
            <w:pPr>
              <w:jc w:val="center"/>
              <w:rPr>
                <w:rFonts w:ascii="Calibri" w:hAnsi="Calibri"/>
                <w:color w:val="000000"/>
              </w:rPr>
            </w:pPr>
            <w:r w:rsidRPr="007F03BF">
              <w:rPr>
                <w:rFonts w:ascii="Calibri" w:hAnsi="Calibri"/>
                <w:color w:val="000000"/>
              </w:rPr>
              <w:t>100</w:t>
            </w:r>
          </w:p>
        </w:tc>
        <w:tc>
          <w:tcPr>
            <w:tcW w:w="908" w:type="dxa"/>
            <w:vAlign w:val="center"/>
          </w:tcPr>
          <w:p w14:paraId="2CD87696" w14:textId="77777777" w:rsidR="00B2542B" w:rsidRPr="007F03BF" w:rsidRDefault="00C63977" w:rsidP="00B2542B">
            <w:pPr>
              <w:jc w:val="center"/>
              <w:rPr>
                <w:rFonts w:ascii="Calibri" w:hAnsi="Calibri"/>
                <w:color w:val="000000"/>
              </w:rPr>
            </w:pPr>
            <w:r w:rsidRPr="007F03BF">
              <w:rPr>
                <w:rFonts w:ascii="Calibri" w:hAnsi="Calibri"/>
                <w:color w:val="000000"/>
              </w:rPr>
              <w:t>-</w:t>
            </w:r>
          </w:p>
        </w:tc>
      </w:tr>
    </w:tbl>
    <w:p w14:paraId="43ECDEE3" w14:textId="77777777" w:rsidR="004828F3" w:rsidRPr="007F03BF" w:rsidRDefault="004828F3" w:rsidP="004828F3">
      <w:pPr>
        <w:spacing w:before="100" w:beforeAutospacing="1" w:after="100" w:afterAutospacing="1" w:line="360" w:lineRule="auto"/>
        <w:contextualSpacing/>
        <w:jc w:val="both"/>
        <w:rPr>
          <w:rFonts w:ascii="Arial" w:hAnsi="Arial" w:cs="Arial"/>
        </w:rPr>
      </w:pPr>
    </w:p>
    <w:p w14:paraId="712F8DF8" w14:textId="77777777" w:rsidR="00C63977" w:rsidRPr="007F03BF" w:rsidRDefault="00C63977" w:rsidP="00C63977">
      <w:pPr>
        <w:spacing w:before="100" w:beforeAutospacing="1" w:after="100" w:afterAutospacing="1" w:line="360" w:lineRule="auto"/>
        <w:contextualSpacing/>
        <w:jc w:val="both"/>
        <w:rPr>
          <w:rFonts w:ascii="Arial" w:hAnsi="Arial" w:cs="Arial"/>
        </w:rPr>
      </w:pPr>
      <w:r w:rsidRPr="007F03BF">
        <w:rPr>
          <w:rFonts w:ascii="Arial" w:hAnsi="Arial" w:cs="Arial"/>
        </w:rPr>
        <w:t xml:space="preserve">Del comparativo anteriormente plasmado, se puede apreciar que este ámbito tuvo un incremento de su índice en la mayoría de las obligaciones que le son aplicables </w:t>
      </w:r>
    </w:p>
    <w:p w14:paraId="48664553" w14:textId="77777777" w:rsidR="00C63977" w:rsidRPr="007F03BF" w:rsidRDefault="00C63977" w:rsidP="00C63977">
      <w:pPr>
        <w:spacing w:before="100" w:beforeAutospacing="1" w:after="100" w:afterAutospacing="1" w:line="360" w:lineRule="auto"/>
        <w:contextualSpacing/>
        <w:jc w:val="both"/>
        <w:rPr>
          <w:rFonts w:ascii="Arial" w:hAnsi="Arial" w:cs="Arial"/>
        </w:rPr>
      </w:pPr>
    </w:p>
    <w:p w14:paraId="167E6017" w14:textId="77777777" w:rsidR="00C63977" w:rsidRPr="007F03BF" w:rsidRDefault="00C63977" w:rsidP="00C63977">
      <w:pPr>
        <w:spacing w:before="100" w:beforeAutospacing="1" w:after="100" w:afterAutospacing="1" w:line="360" w:lineRule="auto"/>
        <w:contextualSpacing/>
        <w:jc w:val="both"/>
        <w:rPr>
          <w:rFonts w:ascii="Arial" w:hAnsi="Arial" w:cs="Arial"/>
        </w:rPr>
      </w:pPr>
      <w:r w:rsidRPr="007F03BF">
        <w:rPr>
          <w:rFonts w:ascii="Arial" w:hAnsi="Arial" w:cs="Arial"/>
        </w:rPr>
        <w:t xml:space="preserve">En lo que respecta a las obligaciones comunes, aumentó 12 punto su índice, pasando de 84.32% a 96.84% y respecto de las obligaciones particulares, el artículo 137 permaneció igual con un ICOT de 99.60% y el 138 aumento de ICOT 15.03 puntos, pasando de 79.57% a 94.60. Con relación a las disposiciones particulares, </w:t>
      </w:r>
      <w:r w:rsidRPr="007F03BF">
        <w:rPr>
          <w:rFonts w:ascii="Arial" w:hAnsi="Arial" w:cs="Arial"/>
        </w:rPr>
        <w:lastRenderedPageBreak/>
        <w:t xml:space="preserve">el artículo 145 pasó de tener un ICOT de 93.75% a un cumplimiento total aumentando 6.25 puntos. </w:t>
      </w:r>
    </w:p>
    <w:p w14:paraId="09390B28" w14:textId="77777777" w:rsidR="00C63977" w:rsidRPr="007F03BF" w:rsidRDefault="00C63977" w:rsidP="00C63977">
      <w:pPr>
        <w:spacing w:before="100" w:beforeAutospacing="1" w:after="100" w:afterAutospacing="1" w:line="360" w:lineRule="auto"/>
        <w:contextualSpacing/>
        <w:jc w:val="both"/>
        <w:rPr>
          <w:rFonts w:ascii="Arial" w:hAnsi="Arial" w:cs="Arial"/>
        </w:rPr>
      </w:pPr>
    </w:p>
    <w:p w14:paraId="6C6DA4DE" w14:textId="77777777" w:rsidR="00C63977" w:rsidRPr="007F03BF" w:rsidRDefault="00C63977" w:rsidP="00C63977">
      <w:pPr>
        <w:spacing w:before="100" w:beforeAutospacing="1" w:after="100" w:afterAutospacing="1" w:line="360" w:lineRule="auto"/>
        <w:contextualSpacing/>
        <w:jc w:val="both"/>
        <w:rPr>
          <w:rFonts w:ascii="Arial" w:hAnsi="Arial" w:cs="Arial"/>
        </w:rPr>
      </w:pPr>
      <w:r w:rsidRPr="007F03BF">
        <w:rPr>
          <w:rFonts w:ascii="Arial" w:hAnsi="Arial" w:cs="Arial"/>
        </w:rPr>
        <w:t>El ámbito de Órganos Autónomos obtuvo un incremento promedio en su índice por artículo de 8.4 puntos.</w:t>
      </w:r>
    </w:p>
    <w:p w14:paraId="455AC059" w14:textId="77777777" w:rsidR="004828F3" w:rsidRPr="007F03BF" w:rsidRDefault="004828F3" w:rsidP="004828F3">
      <w:pPr>
        <w:spacing w:before="100" w:beforeAutospacing="1" w:after="100" w:afterAutospacing="1" w:line="360" w:lineRule="auto"/>
        <w:contextualSpacing/>
        <w:jc w:val="both"/>
        <w:rPr>
          <w:rFonts w:ascii="Arial" w:hAnsi="Arial" w:cs="Arial"/>
        </w:rPr>
      </w:pPr>
    </w:p>
    <w:p w14:paraId="4591FF28" w14:textId="77777777" w:rsidR="004828F3" w:rsidRPr="007F03BF" w:rsidRDefault="004828F3" w:rsidP="004828F3">
      <w:pPr>
        <w:spacing w:before="100" w:beforeAutospacing="1" w:after="100" w:afterAutospacing="1" w:line="360" w:lineRule="auto"/>
        <w:contextualSpacing/>
        <w:jc w:val="both"/>
        <w:rPr>
          <w:rFonts w:ascii="Arial" w:hAnsi="Arial" w:cs="Arial"/>
          <w:b/>
          <w:bCs/>
        </w:rPr>
      </w:pPr>
      <w:r w:rsidRPr="007F03BF">
        <w:rPr>
          <w:rFonts w:ascii="Arial" w:hAnsi="Arial" w:cs="Arial"/>
          <w:b/>
          <w:bCs/>
        </w:rPr>
        <w:t>Comparativo de índices entre la Primera Evaluación Vinculante 20</w:t>
      </w:r>
      <w:r w:rsidR="00C63977" w:rsidRPr="007F03BF">
        <w:rPr>
          <w:rFonts w:ascii="Arial" w:hAnsi="Arial" w:cs="Arial"/>
          <w:b/>
          <w:bCs/>
        </w:rPr>
        <w:t>20</w:t>
      </w:r>
      <w:r w:rsidRPr="007F03BF">
        <w:rPr>
          <w:rFonts w:ascii="Arial" w:hAnsi="Arial" w:cs="Arial"/>
          <w:b/>
          <w:bCs/>
        </w:rPr>
        <w:t xml:space="preserve"> y la </w:t>
      </w:r>
      <w:r w:rsidR="00C63977" w:rsidRPr="007F03BF">
        <w:rPr>
          <w:rFonts w:ascii="Arial" w:hAnsi="Arial" w:cs="Arial"/>
          <w:b/>
          <w:bCs/>
        </w:rPr>
        <w:t>Segunda</w:t>
      </w:r>
      <w:r w:rsidRPr="007F03BF">
        <w:rPr>
          <w:rFonts w:ascii="Arial" w:hAnsi="Arial" w:cs="Arial"/>
          <w:b/>
          <w:bCs/>
        </w:rPr>
        <w:t xml:space="preserve"> Evaluación Vinculante 2019</w:t>
      </w:r>
    </w:p>
    <w:tbl>
      <w:tblPr>
        <w:tblW w:w="8926" w:type="dxa"/>
        <w:tblCellMar>
          <w:left w:w="70" w:type="dxa"/>
          <w:right w:w="70" w:type="dxa"/>
        </w:tblCellMar>
        <w:tblLook w:val="04A0" w:firstRow="1" w:lastRow="0" w:firstColumn="1" w:lastColumn="0" w:noHBand="0" w:noVBand="1"/>
      </w:tblPr>
      <w:tblGrid>
        <w:gridCol w:w="463"/>
        <w:gridCol w:w="4352"/>
        <w:gridCol w:w="1559"/>
        <w:gridCol w:w="1703"/>
        <w:gridCol w:w="849"/>
      </w:tblGrid>
      <w:tr w:rsidR="004828F3" w:rsidRPr="007F03BF" w14:paraId="6791558D" w14:textId="77777777" w:rsidTr="008C4FD7">
        <w:trPr>
          <w:trHeight w:val="860"/>
          <w:tblHeader/>
        </w:trPr>
        <w:tc>
          <w:tcPr>
            <w:tcW w:w="8926" w:type="dxa"/>
            <w:gridSpan w:val="5"/>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0CF67FCB" w14:textId="77777777" w:rsidR="004828F3" w:rsidRPr="007F03BF" w:rsidRDefault="00B2542B" w:rsidP="001F7251">
            <w:pPr>
              <w:jc w:val="center"/>
              <w:rPr>
                <w:rFonts w:ascii="Arial" w:hAnsi="Arial" w:cs="Arial"/>
                <w:b/>
                <w:bCs/>
                <w:color w:val="000000"/>
                <w:sz w:val="20"/>
                <w:szCs w:val="20"/>
              </w:rPr>
            </w:pPr>
            <w:r w:rsidRPr="007F03BF">
              <w:rPr>
                <w:rFonts w:ascii="Arial" w:hAnsi="Arial" w:cs="Arial"/>
                <w:b/>
                <w:bCs/>
                <w:color w:val="000000"/>
                <w:sz w:val="20"/>
                <w:szCs w:val="20"/>
              </w:rPr>
              <w:t>Resultados de la Primera Evaluación Vinculante 2020, respecto de las recomendaciones y observaciones de la Segunda Evaluación Vinculante 2019</w:t>
            </w:r>
          </w:p>
        </w:tc>
      </w:tr>
      <w:tr w:rsidR="00B2542B" w:rsidRPr="007F03BF" w14:paraId="2D5A5789" w14:textId="77777777" w:rsidTr="008C4FD7">
        <w:trPr>
          <w:trHeight w:val="340"/>
          <w:tblHeader/>
        </w:trPr>
        <w:tc>
          <w:tcPr>
            <w:tcW w:w="463" w:type="dxa"/>
            <w:tcBorders>
              <w:top w:val="nil"/>
              <w:left w:val="single" w:sz="4" w:space="0" w:color="auto"/>
              <w:bottom w:val="single" w:sz="4" w:space="0" w:color="auto"/>
              <w:right w:val="single" w:sz="4" w:space="0" w:color="auto"/>
            </w:tcBorders>
            <w:shd w:val="clear" w:color="auto" w:fill="70AD47" w:themeFill="accent6"/>
            <w:vAlign w:val="center"/>
            <w:hideMark/>
          </w:tcPr>
          <w:p w14:paraId="4D8BF503" w14:textId="77777777" w:rsidR="00B2542B" w:rsidRPr="007F03BF" w:rsidRDefault="00B2542B" w:rsidP="00B2542B">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No.</w:t>
            </w:r>
          </w:p>
        </w:tc>
        <w:tc>
          <w:tcPr>
            <w:tcW w:w="4352" w:type="dxa"/>
            <w:tcBorders>
              <w:top w:val="nil"/>
              <w:left w:val="nil"/>
              <w:bottom w:val="single" w:sz="4" w:space="0" w:color="auto"/>
              <w:right w:val="single" w:sz="4" w:space="0" w:color="auto"/>
            </w:tcBorders>
            <w:shd w:val="clear" w:color="auto" w:fill="70AD47" w:themeFill="accent6"/>
            <w:vAlign w:val="center"/>
            <w:hideMark/>
          </w:tcPr>
          <w:p w14:paraId="0D43586C" w14:textId="77777777" w:rsidR="00B2542B" w:rsidRPr="007F03BF" w:rsidRDefault="00B2542B" w:rsidP="00B2542B">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Sujeto obligado</w:t>
            </w:r>
          </w:p>
        </w:tc>
        <w:tc>
          <w:tcPr>
            <w:tcW w:w="1559" w:type="dxa"/>
            <w:tcBorders>
              <w:top w:val="nil"/>
              <w:left w:val="nil"/>
              <w:bottom w:val="single" w:sz="4" w:space="0" w:color="auto"/>
              <w:right w:val="single" w:sz="4" w:space="0" w:color="auto"/>
            </w:tcBorders>
            <w:shd w:val="clear" w:color="auto" w:fill="70AD47" w:themeFill="accent6"/>
            <w:vAlign w:val="center"/>
            <w:hideMark/>
          </w:tcPr>
          <w:p w14:paraId="6BA3E306" w14:textId="77777777" w:rsidR="00B2542B" w:rsidRPr="007F03BF" w:rsidRDefault="00B2542B" w:rsidP="00B2542B">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2a Evaluación Vinculante 2019</w:t>
            </w:r>
          </w:p>
        </w:tc>
        <w:tc>
          <w:tcPr>
            <w:tcW w:w="1703" w:type="dxa"/>
            <w:tcBorders>
              <w:top w:val="nil"/>
              <w:left w:val="nil"/>
              <w:bottom w:val="single" w:sz="4" w:space="0" w:color="auto"/>
              <w:right w:val="single" w:sz="4" w:space="0" w:color="auto"/>
            </w:tcBorders>
            <w:shd w:val="clear" w:color="auto" w:fill="70AD47" w:themeFill="accent6"/>
            <w:vAlign w:val="center"/>
            <w:hideMark/>
          </w:tcPr>
          <w:p w14:paraId="09495B70" w14:textId="77777777" w:rsidR="00B2542B" w:rsidRPr="007F03BF" w:rsidRDefault="00B2542B" w:rsidP="00B2542B">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1a Evaluación Vinculante 2020</w:t>
            </w:r>
          </w:p>
        </w:tc>
        <w:tc>
          <w:tcPr>
            <w:tcW w:w="849" w:type="dxa"/>
            <w:tcBorders>
              <w:top w:val="nil"/>
              <w:left w:val="nil"/>
              <w:bottom w:val="single" w:sz="4" w:space="0" w:color="auto"/>
              <w:right w:val="single" w:sz="4" w:space="0" w:color="auto"/>
            </w:tcBorders>
            <w:shd w:val="clear" w:color="auto" w:fill="70AD47" w:themeFill="accent6"/>
            <w:vAlign w:val="center"/>
            <w:hideMark/>
          </w:tcPr>
          <w:p w14:paraId="5E458DB6" w14:textId="77777777" w:rsidR="00B2542B" w:rsidRPr="007F03BF" w:rsidRDefault="00B2542B" w:rsidP="00B2542B">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4828F3" w:rsidRPr="007F03BF" w14:paraId="594425A4" w14:textId="77777777" w:rsidTr="001F7251">
        <w:trPr>
          <w:trHeight w:val="680"/>
        </w:trPr>
        <w:tc>
          <w:tcPr>
            <w:tcW w:w="463" w:type="dxa"/>
            <w:tcBorders>
              <w:top w:val="nil"/>
              <w:left w:val="single" w:sz="4" w:space="0" w:color="auto"/>
              <w:bottom w:val="single" w:sz="4" w:space="0" w:color="auto"/>
              <w:right w:val="single" w:sz="4" w:space="0" w:color="auto"/>
            </w:tcBorders>
            <w:shd w:val="clear" w:color="auto" w:fill="auto"/>
            <w:vAlign w:val="center"/>
            <w:hideMark/>
          </w:tcPr>
          <w:p w14:paraId="7DDCE321" w14:textId="77777777" w:rsidR="004828F3" w:rsidRPr="007F03BF" w:rsidRDefault="00C63977" w:rsidP="001F7251">
            <w:pPr>
              <w:jc w:val="center"/>
              <w:rPr>
                <w:rFonts w:ascii="Arial" w:hAnsi="Arial" w:cs="Arial"/>
                <w:color w:val="000000"/>
                <w:sz w:val="20"/>
                <w:szCs w:val="20"/>
              </w:rPr>
            </w:pPr>
            <w:r w:rsidRPr="007F03BF">
              <w:rPr>
                <w:rFonts w:ascii="Arial" w:hAnsi="Arial" w:cs="Arial"/>
                <w:color w:val="000000"/>
                <w:sz w:val="20"/>
                <w:szCs w:val="20"/>
              </w:rPr>
              <w:t>1</w:t>
            </w:r>
          </w:p>
        </w:tc>
        <w:tc>
          <w:tcPr>
            <w:tcW w:w="4352" w:type="dxa"/>
            <w:tcBorders>
              <w:top w:val="nil"/>
              <w:left w:val="nil"/>
              <w:bottom w:val="single" w:sz="4" w:space="0" w:color="auto"/>
              <w:right w:val="single" w:sz="4" w:space="0" w:color="auto"/>
            </w:tcBorders>
            <w:shd w:val="clear" w:color="auto" w:fill="auto"/>
            <w:vAlign w:val="center"/>
            <w:hideMark/>
          </w:tcPr>
          <w:p w14:paraId="1E026A51" w14:textId="77777777" w:rsidR="004828F3" w:rsidRPr="007F03BF" w:rsidRDefault="004828F3" w:rsidP="001F7251">
            <w:pPr>
              <w:rPr>
                <w:rFonts w:ascii="Arial" w:hAnsi="Arial" w:cs="Arial"/>
                <w:color w:val="000000"/>
                <w:sz w:val="20"/>
                <w:szCs w:val="20"/>
              </w:rPr>
            </w:pPr>
            <w:r w:rsidRPr="007F03BF">
              <w:rPr>
                <w:rFonts w:ascii="Arial" w:hAnsi="Arial" w:cs="Arial"/>
                <w:color w:val="000000"/>
                <w:sz w:val="20"/>
                <w:szCs w:val="20"/>
              </w:rPr>
              <w:t>Sindicato de Trabajadores del Tribunal de Justicia Administrativa de la Ciudad de México</w:t>
            </w:r>
          </w:p>
        </w:tc>
        <w:tc>
          <w:tcPr>
            <w:tcW w:w="1559" w:type="dxa"/>
            <w:tcBorders>
              <w:top w:val="nil"/>
              <w:left w:val="nil"/>
              <w:bottom w:val="single" w:sz="4" w:space="0" w:color="auto"/>
              <w:right w:val="single" w:sz="4" w:space="0" w:color="auto"/>
            </w:tcBorders>
            <w:shd w:val="clear" w:color="auto" w:fill="auto"/>
            <w:vAlign w:val="center"/>
            <w:hideMark/>
          </w:tcPr>
          <w:p w14:paraId="5DB56CAE" w14:textId="77777777" w:rsidR="004828F3" w:rsidRPr="007F03BF" w:rsidRDefault="00C63977" w:rsidP="001F7251">
            <w:pPr>
              <w:jc w:val="center"/>
              <w:rPr>
                <w:rFonts w:ascii="Arial" w:hAnsi="Arial" w:cs="Arial"/>
                <w:color w:val="000000"/>
                <w:sz w:val="20"/>
                <w:szCs w:val="20"/>
              </w:rPr>
            </w:pPr>
            <w:r w:rsidRPr="007F03BF">
              <w:rPr>
                <w:rFonts w:ascii="Arial" w:hAnsi="Arial" w:cs="Arial"/>
                <w:color w:val="000000"/>
                <w:sz w:val="20"/>
                <w:szCs w:val="20"/>
              </w:rPr>
              <w:t>87.2</w:t>
            </w:r>
          </w:p>
        </w:tc>
        <w:tc>
          <w:tcPr>
            <w:tcW w:w="1703" w:type="dxa"/>
            <w:tcBorders>
              <w:top w:val="nil"/>
              <w:left w:val="nil"/>
              <w:bottom w:val="single" w:sz="4" w:space="0" w:color="auto"/>
              <w:right w:val="single" w:sz="4" w:space="0" w:color="auto"/>
            </w:tcBorders>
            <w:shd w:val="clear" w:color="auto" w:fill="auto"/>
            <w:vAlign w:val="center"/>
            <w:hideMark/>
          </w:tcPr>
          <w:p w14:paraId="14174573" w14:textId="77777777" w:rsidR="004828F3" w:rsidRPr="007F03BF" w:rsidRDefault="00C63977" w:rsidP="001F7251">
            <w:pPr>
              <w:jc w:val="center"/>
              <w:rPr>
                <w:rFonts w:ascii="Arial" w:hAnsi="Arial" w:cs="Arial"/>
                <w:color w:val="000000"/>
                <w:sz w:val="20"/>
                <w:szCs w:val="20"/>
              </w:rPr>
            </w:pPr>
            <w:r w:rsidRPr="007F03BF">
              <w:rPr>
                <w:rFonts w:ascii="Arial" w:hAnsi="Arial" w:cs="Arial"/>
                <w:color w:val="000000"/>
                <w:sz w:val="20"/>
                <w:szCs w:val="20"/>
              </w:rPr>
              <w:t>97.26</w:t>
            </w:r>
          </w:p>
        </w:tc>
        <w:tc>
          <w:tcPr>
            <w:tcW w:w="849" w:type="dxa"/>
            <w:tcBorders>
              <w:top w:val="nil"/>
              <w:left w:val="nil"/>
              <w:bottom w:val="single" w:sz="4" w:space="0" w:color="auto"/>
              <w:right w:val="single" w:sz="4" w:space="0" w:color="auto"/>
            </w:tcBorders>
            <w:shd w:val="clear" w:color="auto" w:fill="auto"/>
            <w:vAlign w:val="center"/>
            <w:hideMark/>
          </w:tcPr>
          <w:p w14:paraId="5BD01861" w14:textId="77777777" w:rsidR="004828F3" w:rsidRPr="007F03BF" w:rsidRDefault="00C63977" w:rsidP="001F7251">
            <w:pPr>
              <w:jc w:val="center"/>
              <w:rPr>
                <w:rFonts w:ascii="Arial" w:hAnsi="Arial" w:cs="Arial"/>
                <w:color w:val="000000"/>
                <w:sz w:val="20"/>
                <w:szCs w:val="20"/>
              </w:rPr>
            </w:pPr>
            <w:r w:rsidRPr="007F03BF">
              <w:rPr>
                <w:rFonts w:ascii="Arial" w:hAnsi="Arial" w:cs="Arial"/>
                <w:color w:val="000000"/>
                <w:sz w:val="20"/>
                <w:szCs w:val="20"/>
              </w:rPr>
              <w:t>10.06</w:t>
            </w:r>
          </w:p>
        </w:tc>
      </w:tr>
    </w:tbl>
    <w:p w14:paraId="2664EDB4" w14:textId="77777777" w:rsidR="004828F3" w:rsidRPr="007F03BF" w:rsidRDefault="004828F3" w:rsidP="004828F3">
      <w:pPr>
        <w:spacing w:before="100" w:beforeAutospacing="1" w:after="100" w:afterAutospacing="1" w:line="360" w:lineRule="auto"/>
        <w:contextualSpacing/>
        <w:jc w:val="both"/>
        <w:rPr>
          <w:rFonts w:ascii="Arial" w:hAnsi="Arial" w:cs="Arial"/>
        </w:rPr>
      </w:pPr>
    </w:p>
    <w:p w14:paraId="08FFE62A" w14:textId="77777777" w:rsidR="001F7251" w:rsidRPr="007F03BF" w:rsidRDefault="004828F3" w:rsidP="0075244E">
      <w:pPr>
        <w:spacing w:before="100" w:beforeAutospacing="1" w:after="100" w:afterAutospacing="1" w:line="360" w:lineRule="auto"/>
        <w:jc w:val="both"/>
        <w:rPr>
          <w:rFonts w:ascii="Arial" w:hAnsi="Arial" w:cs="Arial"/>
        </w:rPr>
      </w:pPr>
      <w:r w:rsidRPr="007F03BF">
        <w:rPr>
          <w:rFonts w:ascii="Arial" w:hAnsi="Arial" w:cs="Arial"/>
        </w:rPr>
        <w:t xml:space="preserve">Con relación </w:t>
      </w:r>
      <w:r w:rsidR="00C63977" w:rsidRPr="007F03BF">
        <w:rPr>
          <w:rFonts w:ascii="Arial" w:hAnsi="Arial" w:cs="Arial"/>
        </w:rPr>
        <w:t xml:space="preserve">al Sindicato TJA, éste </w:t>
      </w:r>
      <w:r w:rsidRPr="007F03BF">
        <w:rPr>
          <w:rFonts w:ascii="Arial" w:hAnsi="Arial" w:cs="Arial"/>
        </w:rPr>
        <w:t>atendi</w:t>
      </w:r>
      <w:r w:rsidR="00C63977" w:rsidRPr="007F03BF">
        <w:rPr>
          <w:rFonts w:ascii="Arial" w:hAnsi="Arial" w:cs="Arial"/>
        </w:rPr>
        <w:t>ó</w:t>
      </w:r>
      <w:r w:rsidRPr="007F03BF">
        <w:rPr>
          <w:rFonts w:ascii="Arial" w:hAnsi="Arial" w:cs="Arial"/>
        </w:rPr>
        <w:t xml:space="preserve"> las recomendaciones y observaciones</w:t>
      </w:r>
      <w:r w:rsidR="00C63977" w:rsidRPr="007F03BF">
        <w:rPr>
          <w:rFonts w:ascii="Arial" w:hAnsi="Arial" w:cs="Arial"/>
        </w:rPr>
        <w:t>, pero continúa presentando áreas de oportunidad en sus obligaciones comunes y específicas, por lo que se encuentra en un cumplimiento parcial</w:t>
      </w:r>
      <w:r w:rsidRPr="007F03BF">
        <w:rPr>
          <w:rFonts w:ascii="Arial" w:hAnsi="Arial" w:cs="Arial"/>
        </w:rPr>
        <w:t xml:space="preserve">. </w:t>
      </w:r>
    </w:p>
    <w:p w14:paraId="5C2D8F94" w14:textId="77777777" w:rsidR="003D3FB7" w:rsidRPr="007F03BF" w:rsidRDefault="003D3FB7">
      <w:pPr>
        <w:rPr>
          <w:rFonts w:ascii="Arial" w:eastAsiaTheme="majorEastAsia" w:hAnsi="Arial" w:cs="Arial"/>
          <w:b/>
          <w:bCs/>
          <w:color w:val="000000" w:themeColor="text1"/>
          <w:lang w:eastAsia="en-US"/>
        </w:rPr>
      </w:pPr>
      <w:bookmarkStart w:id="26" w:name="_Toc23253014"/>
      <w:r w:rsidRPr="007F03BF">
        <w:rPr>
          <w:rFonts w:ascii="Arial" w:hAnsi="Arial" w:cs="Arial"/>
          <w:b/>
          <w:bCs/>
          <w:color w:val="000000" w:themeColor="text1"/>
        </w:rPr>
        <w:br w:type="page"/>
      </w:r>
    </w:p>
    <w:p w14:paraId="5AEA150E" w14:textId="77777777" w:rsidR="00217E5F" w:rsidRPr="007F03BF" w:rsidRDefault="00217E5F" w:rsidP="00217E5F">
      <w:pPr>
        <w:pStyle w:val="Ttulo1"/>
        <w:rPr>
          <w:rFonts w:ascii="Arial" w:hAnsi="Arial" w:cs="Arial"/>
          <w:b/>
          <w:bCs/>
          <w:color w:val="000000" w:themeColor="text1"/>
          <w:sz w:val="24"/>
          <w:szCs w:val="24"/>
        </w:rPr>
      </w:pPr>
      <w:bookmarkStart w:id="27" w:name="_Toc39684007"/>
      <w:bookmarkEnd w:id="26"/>
      <w:r w:rsidRPr="007F03BF">
        <w:rPr>
          <w:rFonts w:ascii="Arial" w:hAnsi="Arial" w:cs="Arial"/>
          <w:b/>
          <w:bCs/>
          <w:color w:val="000000" w:themeColor="text1"/>
          <w:sz w:val="24"/>
          <w:szCs w:val="24"/>
        </w:rPr>
        <w:lastRenderedPageBreak/>
        <w:t>CONCLUSIONES</w:t>
      </w:r>
      <w:bookmarkEnd w:id="27"/>
      <w:r w:rsidRPr="007F03BF">
        <w:rPr>
          <w:rFonts w:ascii="Arial" w:hAnsi="Arial" w:cs="Arial"/>
          <w:b/>
          <w:bCs/>
          <w:color w:val="000000" w:themeColor="text1"/>
          <w:sz w:val="24"/>
          <w:szCs w:val="24"/>
        </w:rPr>
        <w:t xml:space="preserve"> </w:t>
      </w:r>
    </w:p>
    <w:p w14:paraId="61369054" w14:textId="77777777" w:rsidR="00217E5F" w:rsidRPr="007F03BF" w:rsidRDefault="00217E5F" w:rsidP="00217E5F">
      <w:pPr>
        <w:rPr>
          <w:rFonts w:ascii="Arial" w:hAnsi="Arial" w:cs="Arial"/>
        </w:rPr>
      </w:pPr>
    </w:p>
    <w:p w14:paraId="054BC2FB" w14:textId="77777777" w:rsidR="00217E5F" w:rsidRPr="007F03BF" w:rsidRDefault="00217E5F" w:rsidP="00217E5F">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 xml:space="preserve">De los 28 sujetos obligados con áreas de mejora detectadas en la Segunda Evaluación Vinculante 2019, ninguno fue omiso en la atención de al menos una de las recomendaciones u observaciones emitidas en el dictamen correspondiente. </w:t>
      </w:r>
    </w:p>
    <w:p w14:paraId="4683D034" w14:textId="77777777" w:rsidR="00217E5F" w:rsidRPr="007F03BF" w:rsidRDefault="00217E5F" w:rsidP="00217E5F">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Los sujetos obligados que atendieron parcialmente las recomendaciones y observaciones emitidas en la Segunda Evaluación Vinculante 2019, fueron 22 (78.57%).</w:t>
      </w:r>
    </w:p>
    <w:p w14:paraId="49D73D7F" w14:textId="77777777" w:rsidR="00217E5F" w:rsidRPr="007F03BF" w:rsidRDefault="00217E5F" w:rsidP="00217E5F">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Los sujetos obligados que alcanzaron, una vez atendidas las recomendaciones, un IGOT de 100 puntos fueron 6 (21.43%).</w:t>
      </w:r>
    </w:p>
    <w:p w14:paraId="615F0C79" w14:textId="77777777" w:rsidR="00217E5F" w:rsidRPr="007F03BF" w:rsidRDefault="00217E5F" w:rsidP="00217E5F">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 xml:space="preserve">En total, 28 (100%) sujetos obligados atendieron las recomendaciones de este Instituto, estos incluyen los que alcanzaron el cumplimiento total con un IGOT de 100%. </w:t>
      </w:r>
    </w:p>
    <w:p w14:paraId="166E67E9" w14:textId="77777777" w:rsidR="00217E5F" w:rsidRPr="007F03BF" w:rsidRDefault="00217E5F" w:rsidP="00217E5F">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 xml:space="preserve">La información provista en algunos portales de transparencia no cuenta con los criterios mínimos dispuestos en lo que se refiere a formatos accesibles y datos abiertos, tales como que sean integrales, legibles, no discriminatorios, oportunos, permanentes y primarios. </w:t>
      </w:r>
    </w:p>
    <w:p w14:paraId="249502FA" w14:textId="77777777" w:rsidR="00217E5F" w:rsidRPr="007F03BF" w:rsidRDefault="00217E5F" w:rsidP="00217E5F">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 xml:space="preserve">Los sujetos obligados deben publicar la información en un lenguaje sencillo y con perspectiva de género, haciendo uso de formatos accesibles y abiertos. Se detecta un área de mejora generalizada en este aspecto. </w:t>
      </w:r>
    </w:p>
    <w:p w14:paraId="03A0068B" w14:textId="77777777" w:rsidR="00217E5F" w:rsidRPr="007F03BF" w:rsidRDefault="00217E5F" w:rsidP="00217E5F">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 xml:space="preserve">Las ligas electrónicas no siempre otorgan acceso específico a la información mencionada, y en varios casos, simplemente, no están en funcionamiento. </w:t>
      </w:r>
    </w:p>
    <w:p w14:paraId="70873DBF" w14:textId="342AC68D" w:rsidR="00217E5F" w:rsidRPr="007F03BF" w:rsidRDefault="00217E5F" w:rsidP="00217E5F">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 xml:space="preserve">Los sujetos obligados que fueron materia de la evaluación solicitaron a la </w:t>
      </w:r>
      <w:r w:rsidR="000E5534" w:rsidRPr="007F03BF">
        <w:rPr>
          <w:rFonts w:ascii="Arial" w:hAnsi="Arial" w:cs="Arial"/>
          <w:sz w:val="24"/>
          <w:szCs w:val="24"/>
        </w:rPr>
        <w:t xml:space="preserve">Dirección </w:t>
      </w:r>
      <w:r w:rsidRPr="007F03BF">
        <w:rPr>
          <w:rFonts w:ascii="Arial" w:hAnsi="Arial" w:cs="Arial"/>
          <w:sz w:val="24"/>
          <w:szCs w:val="24"/>
        </w:rPr>
        <w:t xml:space="preserve">asesorías técnicas especializadas para conocer los criterios con los que se evalúa el cumplimiento de obligaciones de transparencia, a fin de corregir y atender las observaciones y recomendaciones que les había realizado el Instituto en sus dictámenes de evaluación. </w:t>
      </w:r>
    </w:p>
    <w:p w14:paraId="680FE3F7" w14:textId="77777777" w:rsidR="00C6090F" w:rsidRPr="007F03BF" w:rsidRDefault="00C6090F" w:rsidP="00C6090F">
      <w:pPr>
        <w:spacing w:line="360" w:lineRule="auto"/>
        <w:ind w:left="360"/>
        <w:jc w:val="both"/>
        <w:rPr>
          <w:rFonts w:ascii="Arial" w:hAnsi="Arial" w:cs="Arial"/>
        </w:rPr>
      </w:pPr>
    </w:p>
    <w:p w14:paraId="0F58BC61" w14:textId="77777777" w:rsidR="00217E5F" w:rsidRPr="007F03BF" w:rsidRDefault="00217E5F" w:rsidP="00217E5F">
      <w:pPr>
        <w:pStyle w:val="Ttulo1"/>
        <w:rPr>
          <w:rFonts w:ascii="Arial" w:hAnsi="Arial" w:cs="Arial"/>
          <w:b/>
          <w:bCs/>
          <w:color w:val="000000" w:themeColor="text1"/>
          <w:sz w:val="24"/>
          <w:szCs w:val="24"/>
        </w:rPr>
      </w:pPr>
      <w:bookmarkStart w:id="28" w:name="_Toc39684008"/>
      <w:r w:rsidRPr="007F03BF">
        <w:rPr>
          <w:rFonts w:ascii="Arial" w:hAnsi="Arial" w:cs="Arial"/>
          <w:b/>
          <w:bCs/>
          <w:color w:val="000000" w:themeColor="text1"/>
          <w:sz w:val="24"/>
          <w:szCs w:val="24"/>
        </w:rPr>
        <w:lastRenderedPageBreak/>
        <w:t>LÍNEAS DE ACCIÓN</w:t>
      </w:r>
      <w:bookmarkEnd w:id="28"/>
    </w:p>
    <w:p w14:paraId="5A3F8F9B" w14:textId="77777777" w:rsidR="00217E5F" w:rsidRPr="007F03BF" w:rsidRDefault="00217E5F" w:rsidP="00217E5F">
      <w:pPr>
        <w:rPr>
          <w:lang w:eastAsia="en-US"/>
        </w:rPr>
      </w:pPr>
    </w:p>
    <w:p w14:paraId="53751A41" w14:textId="77777777" w:rsidR="00217E5F" w:rsidRPr="007F03BF" w:rsidRDefault="00217E5F" w:rsidP="00217E5F">
      <w:pPr>
        <w:pStyle w:val="Prrafodelista"/>
        <w:numPr>
          <w:ilvl w:val="0"/>
          <w:numId w:val="11"/>
        </w:numPr>
        <w:spacing w:line="360" w:lineRule="auto"/>
        <w:jc w:val="both"/>
        <w:rPr>
          <w:rFonts w:ascii="Arial" w:hAnsi="Arial" w:cs="Arial"/>
          <w:sz w:val="24"/>
          <w:szCs w:val="24"/>
        </w:rPr>
      </w:pPr>
      <w:r w:rsidRPr="007F03BF">
        <w:rPr>
          <w:rFonts w:ascii="Arial" w:hAnsi="Arial" w:cs="Arial"/>
          <w:sz w:val="24"/>
          <w:szCs w:val="24"/>
        </w:rPr>
        <w:t xml:space="preserve">Se continuará brindando a los sujetos obligados Asesorías Técnicas Especializadas respecto de la publicación y actualización de las obligaciones de transparencia. </w:t>
      </w:r>
    </w:p>
    <w:p w14:paraId="4E7D0D7F" w14:textId="77777777" w:rsidR="00217E5F" w:rsidRPr="007F03BF" w:rsidRDefault="00217E5F" w:rsidP="00217E5F">
      <w:pPr>
        <w:pStyle w:val="Prrafodelista"/>
        <w:numPr>
          <w:ilvl w:val="0"/>
          <w:numId w:val="11"/>
        </w:numPr>
        <w:spacing w:line="360" w:lineRule="auto"/>
        <w:jc w:val="both"/>
        <w:rPr>
          <w:rFonts w:ascii="Arial" w:hAnsi="Arial" w:cs="Arial"/>
          <w:sz w:val="24"/>
          <w:szCs w:val="24"/>
        </w:rPr>
      </w:pPr>
      <w:r w:rsidRPr="007F03BF">
        <w:rPr>
          <w:rFonts w:ascii="Arial" w:hAnsi="Arial" w:cs="Arial"/>
          <w:sz w:val="24"/>
          <w:szCs w:val="24"/>
        </w:rPr>
        <w:t>Se buscará aprovechar las lecciones de esta evaluación para subsanar, en el corto plazo, omisiones detectadas en el proceso. Las tareas pendientes consisten en:</w:t>
      </w:r>
    </w:p>
    <w:p w14:paraId="2E7BB1D5" w14:textId="77777777" w:rsidR="00217E5F" w:rsidRPr="007F03BF" w:rsidRDefault="00217E5F" w:rsidP="00217E5F">
      <w:pPr>
        <w:pStyle w:val="Prrafodelista"/>
        <w:rPr>
          <w:rFonts w:ascii="Arial" w:hAnsi="Arial" w:cs="Arial"/>
          <w:sz w:val="24"/>
          <w:szCs w:val="24"/>
        </w:rPr>
      </w:pPr>
    </w:p>
    <w:p w14:paraId="5A61F30C" w14:textId="77777777" w:rsidR="00217E5F" w:rsidRPr="007F03BF" w:rsidRDefault="00217E5F" w:rsidP="00217E5F">
      <w:pPr>
        <w:pStyle w:val="Prrafodelista"/>
        <w:numPr>
          <w:ilvl w:val="1"/>
          <w:numId w:val="11"/>
        </w:numPr>
        <w:spacing w:line="360" w:lineRule="auto"/>
        <w:jc w:val="both"/>
        <w:rPr>
          <w:rFonts w:ascii="Arial" w:hAnsi="Arial" w:cs="Arial"/>
          <w:sz w:val="24"/>
          <w:szCs w:val="24"/>
        </w:rPr>
      </w:pPr>
      <w:r w:rsidRPr="007F03BF">
        <w:rPr>
          <w:rFonts w:ascii="Arial" w:hAnsi="Arial" w:cs="Arial"/>
          <w:sz w:val="24"/>
          <w:szCs w:val="24"/>
        </w:rPr>
        <w:t>Sensibilizar sobre la importancia de que los sujetos obligados participen en las asesorías técnicas especializadas, con el objetivo de que éstos puedan subsanar sus dudas respecto de la publicación y actualización de la información.</w:t>
      </w:r>
    </w:p>
    <w:p w14:paraId="7AB5F5D0" w14:textId="77777777" w:rsidR="00217E5F" w:rsidRPr="007F03BF" w:rsidRDefault="00217E5F" w:rsidP="00217E5F">
      <w:pPr>
        <w:pStyle w:val="Prrafodelista"/>
        <w:numPr>
          <w:ilvl w:val="1"/>
          <w:numId w:val="11"/>
        </w:numPr>
        <w:spacing w:line="360" w:lineRule="auto"/>
        <w:jc w:val="both"/>
        <w:rPr>
          <w:rFonts w:ascii="Arial" w:hAnsi="Arial" w:cs="Arial"/>
          <w:sz w:val="24"/>
          <w:szCs w:val="24"/>
        </w:rPr>
      </w:pPr>
      <w:r w:rsidRPr="007F03BF">
        <w:rPr>
          <w:rFonts w:ascii="Arial" w:hAnsi="Arial" w:cs="Arial"/>
          <w:sz w:val="24"/>
          <w:szCs w:val="24"/>
        </w:rPr>
        <w:t>Concientizar a los sujetos obligados respecto de la importancia de utilizar un lenguaje sencillo, con perspectiva de género y plasmar la información en formatos accesibles y abiertos.</w:t>
      </w:r>
    </w:p>
    <w:p w14:paraId="31A42054" w14:textId="77777777" w:rsidR="00217E5F" w:rsidRPr="007F03BF" w:rsidRDefault="00217E5F" w:rsidP="00217E5F">
      <w:pPr>
        <w:pStyle w:val="Prrafodelista"/>
        <w:numPr>
          <w:ilvl w:val="1"/>
          <w:numId w:val="11"/>
        </w:numPr>
        <w:spacing w:line="360" w:lineRule="auto"/>
        <w:jc w:val="both"/>
        <w:rPr>
          <w:rFonts w:ascii="Arial" w:hAnsi="Arial" w:cs="Arial"/>
          <w:sz w:val="24"/>
          <w:szCs w:val="24"/>
        </w:rPr>
      </w:pPr>
      <w:r w:rsidRPr="007F03BF">
        <w:rPr>
          <w:rFonts w:ascii="Arial" w:hAnsi="Arial" w:cs="Arial"/>
          <w:sz w:val="24"/>
          <w:szCs w:val="24"/>
        </w:rPr>
        <w:t xml:space="preserve">Crear portales web fáciles de usar y accesibles para los grupos que se encuentren en situación de vulnerabilidad, implementar lectores de página, contrastes de color, temporizador dentro de las ventanas emergentes, entre otras herramientas. </w:t>
      </w:r>
    </w:p>
    <w:p w14:paraId="46E06B20" w14:textId="607B0CDE" w:rsidR="0075244E" w:rsidRDefault="00217E5F" w:rsidP="00322D43">
      <w:pPr>
        <w:spacing w:line="360" w:lineRule="auto"/>
        <w:jc w:val="both"/>
        <w:rPr>
          <w:rFonts w:ascii="Arial" w:hAnsi="Arial" w:cs="Arial"/>
        </w:rPr>
      </w:pPr>
      <w:r w:rsidRPr="007F03BF">
        <w:rPr>
          <w:rFonts w:ascii="Arial" w:hAnsi="Arial" w:cs="Arial"/>
        </w:rPr>
        <w:t>Lo anterior, con el objetivo de asegurar el cumplimiento total de las obligaciones de los sujetos obligados y asegurar que las personas puedan aprovechar la información correspondiente</w:t>
      </w:r>
      <w:r w:rsidR="00322D43" w:rsidRPr="007F03BF">
        <w:rPr>
          <w:rFonts w:ascii="Arial" w:hAnsi="Arial" w:cs="Arial"/>
        </w:rPr>
        <w:t>.</w:t>
      </w:r>
    </w:p>
    <w:p w14:paraId="6BA98F51" w14:textId="62EBFB21" w:rsidR="00DE5B11" w:rsidRDefault="00DE5B11" w:rsidP="00322D43">
      <w:pPr>
        <w:spacing w:line="360" w:lineRule="auto"/>
        <w:jc w:val="both"/>
        <w:rPr>
          <w:rFonts w:ascii="Arial" w:hAnsi="Arial" w:cs="Arial"/>
        </w:rPr>
      </w:pPr>
    </w:p>
    <w:p w14:paraId="120DFFA0" w14:textId="77777777" w:rsidR="00DE5B11" w:rsidRPr="00D47F3C" w:rsidRDefault="00DE5B11" w:rsidP="00322D43">
      <w:pPr>
        <w:spacing w:line="360" w:lineRule="auto"/>
        <w:jc w:val="both"/>
        <w:rPr>
          <w:rFonts w:ascii="Arial" w:hAnsi="Arial" w:cs="Arial"/>
        </w:rPr>
      </w:pPr>
    </w:p>
    <w:sectPr w:rsidR="00DE5B11" w:rsidRPr="00D47F3C" w:rsidSect="005E483C">
      <w:headerReference w:type="default" r:id="rId49"/>
      <w:footerReference w:type="default" r:id="rId5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34367" w14:textId="77777777" w:rsidR="003C7D67" w:rsidRDefault="003C7D67" w:rsidP="009D05E7">
      <w:r>
        <w:separator/>
      </w:r>
    </w:p>
  </w:endnote>
  <w:endnote w:type="continuationSeparator" w:id="0">
    <w:p w14:paraId="5DFB7831" w14:textId="77777777" w:rsidR="003C7D67" w:rsidRDefault="003C7D67" w:rsidP="009D0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387"/>
      <w:gridCol w:w="3451"/>
    </w:tblGrid>
    <w:tr w:rsidR="00E846CB" w14:paraId="60BC17A4" w14:textId="77777777" w:rsidTr="00BA69E1">
      <w:trPr>
        <w:trHeight w:hRule="exact" w:val="115"/>
        <w:jc w:val="center"/>
      </w:trPr>
      <w:tc>
        <w:tcPr>
          <w:tcW w:w="5387" w:type="dxa"/>
          <w:shd w:val="clear" w:color="auto" w:fill="70AD47" w:themeFill="accent6"/>
          <w:tcMar>
            <w:top w:w="0" w:type="dxa"/>
            <w:bottom w:w="0" w:type="dxa"/>
          </w:tcMar>
        </w:tcPr>
        <w:p w14:paraId="29FD49E4" w14:textId="77777777" w:rsidR="00E846CB" w:rsidRPr="00BA69E1" w:rsidRDefault="00E846CB">
          <w:pPr>
            <w:pStyle w:val="Encabezado"/>
            <w:rPr>
              <w:b/>
              <w:bCs/>
              <w:caps/>
              <w:sz w:val="18"/>
            </w:rPr>
          </w:pPr>
        </w:p>
      </w:tc>
      <w:tc>
        <w:tcPr>
          <w:tcW w:w="3451" w:type="dxa"/>
          <w:shd w:val="clear" w:color="auto" w:fill="70AD47" w:themeFill="accent6"/>
          <w:tcMar>
            <w:top w:w="0" w:type="dxa"/>
            <w:bottom w:w="0" w:type="dxa"/>
          </w:tcMar>
        </w:tcPr>
        <w:p w14:paraId="750876A2" w14:textId="77777777" w:rsidR="00E846CB" w:rsidRPr="00BA69E1" w:rsidRDefault="00E846CB">
          <w:pPr>
            <w:pStyle w:val="Encabezado"/>
            <w:jc w:val="right"/>
            <w:rPr>
              <w:b/>
              <w:bCs/>
              <w:caps/>
              <w:sz w:val="18"/>
            </w:rPr>
          </w:pPr>
        </w:p>
      </w:tc>
    </w:tr>
    <w:tr w:rsidR="00E846CB" w14:paraId="1AFAD095" w14:textId="77777777" w:rsidTr="009D05E7">
      <w:trPr>
        <w:jc w:val="center"/>
      </w:trPr>
      <w:sdt>
        <w:sdtPr>
          <w:rPr>
            <w:rFonts w:ascii="Arial" w:hAnsi="Arial" w:cs="Arial"/>
            <w:b/>
            <w:bCs/>
            <w:caps/>
            <w:color w:val="70AD47" w:themeColor="accent6"/>
            <w:sz w:val="16"/>
            <w:szCs w:val="16"/>
          </w:rPr>
          <w:alias w:val="Autor"/>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5387" w:type="dxa"/>
              <w:shd w:val="clear" w:color="auto" w:fill="auto"/>
              <w:vAlign w:val="center"/>
            </w:tcPr>
            <w:p w14:paraId="2AE3D2E9" w14:textId="77777777" w:rsidR="00E846CB" w:rsidRPr="00BA69E1" w:rsidRDefault="00E846CB">
              <w:pPr>
                <w:pStyle w:val="Piedepgina"/>
                <w:rPr>
                  <w:rFonts w:ascii="Arial" w:hAnsi="Arial" w:cs="Arial"/>
                  <w:b/>
                  <w:bCs/>
                  <w:caps/>
                  <w:color w:val="70AD47" w:themeColor="accent6"/>
                  <w:sz w:val="16"/>
                  <w:szCs w:val="16"/>
                </w:rPr>
              </w:pPr>
              <w:r w:rsidRPr="00BA69E1">
                <w:rPr>
                  <w:rFonts w:ascii="Arial" w:hAnsi="Arial" w:cs="Arial"/>
                  <w:b/>
                  <w:bCs/>
                  <w:caps/>
                  <w:color w:val="70AD47" w:themeColor="accent6"/>
                  <w:sz w:val="16"/>
                  <w:szCs w:val="16"/>
                </w:rPr>
                <w:t>Dirección de Estado Abierto, Estudios y Evaluación</w:t>
              </w:r>
            </w:p>
          </w:tc>
        </w:sdtContent>
      </w:sdt>
      <w:tc>
        <w:tcPr>
          <w:tcW w:w="3451" w:type="dxa"/>
          <w:shd w:val="clear" w:color="auto" w:fill="auto"/>
          <w:vAlign w:val="center"/>
        </w:tcPr>
        <w:p w14:paraId="011EF071" w14:textId="79B128E1" w:rsidR="00E846CB" w:rsidRPr="00BA69E1" w:rsidRDefault="00E846CB">
          <w:pPr>
            <w:pStyle w:val="Piedepgina"/>
            <w:jc w:val="right"/>
            <w:rPr>
              <w:rFonts w:ascii="Arial" w:hAnsi="Arial" w:cs="Arial"/>
              <w:b/>
              <w:bCs/>
              <w:caps/>
              <w:color w:val="70AD47" w:themeColor="accent6"/>
              <w:sz w:val="16"/>
              <w:szCs w:val="16"/>
            </w:rPr>
          </w:pPr>
          <w:r w:rsidRPr="00BA69E1">
            <w:rPr>
              <w:rFonts w:ascii="Arial" w:hAnsi="Arial" w:cs="Arial"/>
              <w:b/>
              <w:bCs/>
              <w:caps/>
              <w:color w:val="70AD47" w:themeColor="accent6"/>
              <w:sz w:val="16"/>
              <w:szCs w:val="16"/>
            </w:rPr>
            <w:fldChar w:fldCharType="begin"/>
          </w:r>
          <w:r w:rsidRPr="00BA69E1">
            <w:rPr>
              <w:rFonts w:ascii="Arial" w:hAnsi="Arial" w:cs="Arial"/>
              <w:b/>
              <w:bCs/>
              <w:caps/>
              <w:color w:val="70AD47" w:themeColor="accent6"/>
              <w:sz w:val="16"/>
              <w:szCs w:val="16"/>
            </w:rPr>
            <w:instrText>PAGE   \* MERGEFORMAT</w:instrText>
          </w:r>
          <w:r w:rsidRPr="00BA69E1">
            <w:rPr>
              <w:rFonts w:ascii="Arial" w:hAnsi="Arial" w:cs="Arial"/>
              <w:b/>
              <w:bCs/>
              <w:caps/>
              <w:color w:val="70AD47" w:themeColor="accent6"/>
              <w:sz w:val="16"/>
              <w:szCs w:val="16"/>
            </w:rPr>
            <w:fldChar w:fldCharType="separate"/>
          </w:r>
          <w:r>
            <w:rPr>
              <w:rFonts w:ascii="Arial" w:hAnsi="Arial" w:cs="Arial"/>
              <w:b/>
              <w:bCs/>
              <w:caps/>
              <w:noProof/>
              <w:color w:val="70AD47" w:themeColor="accent6"/>
              <w:sz w:val="16"/>
              <w:szCs w:val="16"/>
            </w:rPr>
            <w:t>41</w:t>
          </w:r>
          <w:r w:rsidRPr="00BA69E1">
            <w:rPr>
              <w:rFonts w:ascii="Arial" w:hAnsi="Arial" w:cs="Arial"/>
              <w:b/>
              <w:bCs/>
              <w:caps/>
              <w:color w:val="70AD47" w:themeColor="accent6"/>
              <w:sz w:val="16"/>
              <w:szCs w:val="16"/>
            </w:rPr>
            <w:fldChar w:fldCharType="end"/>
          </w:r>
        </w:p>
      </w:tc>
    </w:tr>
  </w:tbl>
  <w:p w14:paraId="23209A15" w14:textId="77777777" w:rsidR="00E846CB" w:rsidRDefault="00E846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A7288" w14:textId="77777777" w:rsidR="003C7D67" w:rsidRDefault="003C7D67" w:rsidP="009D05E7">
      <w:r>
        <w:separator/>
      </w:r>
    </w:p>
  </w:footnote>
  <w:footnote w:type="continuationSeparator" w:id="0">
    <w:p w14:paraId="2D524E76" w14:textId="77777777" w:rsidR="003C7D67" w:rsidRDefault="003C7D67" w:rsidP="009D05E7">
      <w:r>
        <w:continuationSeparator/>
      </w:r>
    </w:p>
  </w:footnote>
  <w:footnote w:id="1">
    <w:p w14:paraId="06D9567E" w14:textId="77777777" w:rsidR="00E846CB" w:rsidRPr="00114E33" w:rsidRDefault="00E846CB" w:rsidP="00443C3B">
      <w:pPr>
        <w:pStyle w:val="Textonotapie"/>
        <w:rPr>
          <w:lang w:val="es-ES"/>
        </w:rPr>
      </w:pPr>
      <w:r w:rsidRPr="001A6622">
        <w:rPr>
          <w:rStyle w:val="Refdenotaalpie"/>
        </w:rPr>
        <w:footnoteRef/>
      </w:r>
      <w:r w:rsidRPr="001A6622">
        <w:t xml:space="preserve"> </w:t>
      </w:r>
      <w:r w:rsidRPr="00322D43">
        <w:rPr>
          <w:lang w:val="es-MX"/>
        </w:rPr>
        <w:t>Los preceptos en los que no se advierta a qué ley hacen referencia, se entenderá que es a la Ley de Transparencia de esta Ciudad de México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64F54" w14:textId="77777777" w:rsidR="00E846CB" w:rsidRDefault="00E846CB">
    <w:pPr>
      <w:pStyle w:val="Encabezado"/>
    </w:pPr>
    <w:r>
      <w:rPr>
        <w:noProof/>
        <w:lang w:val="es-MX"/>
      </w:rPr>
      <w:drawing>
        <wp:anchor distT="0" distB="0" distL="114300" distR="114300" simplePos="0" relativeHeight="251659264" behindDoc="1" locked="0" layoutInCell="1" allowOverlap="1" wp14:anchorId="41111E89" wp14:editId="48CD4B94">
          <wp:simplePos x="0" y="0"/>
          <wp:positionH relativeFrom="column">
            <wp:posOffset>-1077863</wp:posOffset>
          </wp:positionH>
          <wp:positionV relativeFrom="paragraph">
            <wp:posOffset>-457969</wp:posOffset>
          </wp:positionV>
          <wp:extent cx="7789418" cy="1107347"/>
          <wp:effectExtent l="0" t="0" r="0" b="0"/>
          <wp:wrapNone/>
          <wp:docPr id="1" name="0 Imagen" descr="Plec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ca-01.jpg"/>
                  <pic:cNvPicPr/>
                </pic:nvPicPr>
                <pic:blipFill>
                  <a:blip r:embed="rId1"/>
                  <a:stretch>
                    <a:fillRect/>
                  </a:stretch>
                </pic:blipFill>
                <pic:spPr>
                  <a:xfrm>
                    <a:off x="0" y="0"/>
                    <a:ext cx="7809096" cy="1110144"/>
                  </a:xfrm>
                  <a:prstGeom prst="rect">
                    <a:avLst/>
                  </a:prstGeom>
                </pic:spPr>
              </pic:pic>
            </a:graphicData>
          </a:graphic>
          <wp14:sizeRelV relativeFrom="margin">
            <wp14:pctHeight>0</wp14:pctHeight>
          </wp14:sizeRelV>
        </wp:anchor>
      </w:drawing>
    </w:r>
  </w:p>
  <w:p w14:paraId="1BDE2874" w14:textId="77777777" w:rsidR="00E846CB" w:rsidRDefault="00E846CB">
    <w:pPr>
      <w:pStyle w:val="Encabezado"/>
    </w:pPr>
  </w:p>
  <w:p w14:paraId="34C2A2F0" w14:textId="77777777" w:rsidR="00E846CB" w:rsidRDefault="00E846CB">
    <w:pPr>
      <w:pStyle w:val="Encabezado"/>
    </w:pPr>
  </w:p>
  <w:p w14:paraId="29F19EE4" w14:textId="77777777" w:rsidR="00E846CB" w:rsidRDefault="00E846CB">
    <w:pPr>
      <w:pStyle w:val="Encabezado"/>
    </w:pPr>
  </w:p>
  <w:p w14:paraId="3569522B" w14:textId="77777777" w:rsidR="00E846CB" w:rsidRDefault="00E846C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145DD"/>
    <w:multiLevelType w:val="hybridMultilevel"/>
    <w:tmpl w:val="E4CABF9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60348CD"/>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DD4026"/>
    <w:multiLevelType w:val="hybridMultilevel"/>
    <w:tmpl w:val="8AB81FD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19A635C4"/>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DB123B3"/>
    <w:multiLevelType w:val="hybridMultilevel"/>
    <w:tmpl w:val="B5F61376"/>
    <w:lvl w:ilvl="0" w:tplc="E0FA8E90">
      <w:start w:val="1"/>
      <w:numFmt w:val="decimal"/>
      <w:lvlText w:val="%1."/>
      <w:lvlJc w:val="left"/>
      <w:pPr>
        <w:tabs>
          <w:tab w:val="num" w:pos="720"/>
        </w:tabs>
        <w:ind w:left="720" w:hanging="360"/>
      </w:pPr>
      <w:rPr>
        <w:b/>
        <w:i w:val="0"/>
        <w:sz w:val="24"/>
        <w:szCs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rPr>
        <w:b/>
        <w:sz w:val="24"/>
        <w:szCs w:val="24"/>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6382FED"/>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5B6332"/>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7" w15:restartNumberingAfterBreak="0">
    <w:nsid w:val="40E54FC9"/>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27D6C11"/>
    <w:multiLevelType w:val="hybridMultilevel"/>
    <w:tmpl w:val="1416D042"/>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E333707"/>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13D45E4"/>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537643F"/>
    <w:multiLevelType w:val="hybridMultilevel"/>
    <w:tmpl w:val="37AC24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82600ED"/>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74334"/>
    <w:multiLevelType w:val="hybridMultilevel"/>
    <w:tmpl w:val="AB50BB3C"/>
    <w:lvl w:ilvl="0" w:tplc="080A000F">
      <w:start w:val="1"/>
      <w:numFmt w:val="decimal"/>
      <w:lvlText w:val="%1."/>
      <w:lvlJc w:val="left"/>
      <w:pPr>
        <w:ind w:left="789" w:hanging="360"/>
      </w:p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14" w15:restartNumberingAfterBreak="0">
    <w:nsid w:val="6AB14E5D"/>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872B04"/>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6" w15:restartNumberingAfterBreak="0">
    <w:nsid w:val="71B509A0"/>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7" w15:restartNumberingAfterBreak="0">
    <w:nsid w:val="78F656A3"/>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0"/>
  </w:num>
  <w:num w:numId="3">
    <w:abstractNumId w:val="15"/>
  </w:num>
  <w:num w:numId="4">
    <w:abstractNumId w:val="6"/>
  </w:num>
  <w:num w:numId="5">
    <w:abstractNumId w:val="1"/>
  </w:num>
  <w:num w:numId="6">
    <w:abstractNumId w:val="16"/>
  </w:num>
  <w:num w:numId="7">
    <w:abstractNumId w:val="17"/>
  </w:num>
  <w:num w:numId="8">
    <w:abstractNumId w:val="5"/>
  </w:num>
  <w:num w:numId="9">
    <w:abstractNumId w:val="2"/>
  </w:num>
  <w:num w:numId="10">
    <w:abstractNumId w:val="8"/>
  </w:num>
  <w:num w:numId="11">
    <w:abstractNumId w:val="0"/>
  </w:num>
  <w:num w:numId="12">
    <w:abstractNumId w:val="9"/>
  </w:num>
  <w:num w:numId="13">
    <w:abstractNumId w:val="7"/>
  </w:num>
  <w:num w:numId="14">
    <w:abstractNumId w:val="3"/>
  </w:num>
  <w:num w:numId="15">
    <w:abstractNumId w:val="14"/>
  </w:num>
  <w:num w:numId="16">
    <w:abstractNumId w:val="13"/>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8F3"/>
    <w:rsid w:val="00071E52"/>
    <w:rsid w:val="0007356A"/>
    <w:rsid w:val="000A408A"/>
    <w:rsid w:val="000D019A"/>
    <w:rsid w:val="000E5534"/>
    <w:rsid w:val="001074DE"/>
    <w:rsid w:val="00107609"/>
    <w:rsid w:val="00130AF5"/>
    <w:rsid w:val="00140C76"/>
    <w:rsid w:val="00151E44"/>
    <w:rsid w:val="00154BA9"/>
    <w:rsid w:val="00167A2D"/>
    <w:rsid w:val="00192565"/>
    <w:rsid w:val="001A6622"/>
    <w:rsid w:val="001B216E"/>
    <w:rsid w:val="001B7B8A"/>
    <w:rsid w:val="001C2DF6"/>
    <w:rsid w:val="001D07E6"/>
    <w:rsid w:val="001E0DF8"/>
    <w:rsid w:val="001F6203"/>
    <w:rsid w:val="001F7251"/>
    <w:rsid w:val="002003CE"/>
    <w:rsid w:val="00205601"/>
    <w:rsid w:val="002132FC"/>
    <w:rsid w:val="00217E5F"/>
    <w:rsid w:val="00243704"/>
    <w:rsid w:val="00291B8A"/>
    <w:rsid w:val="002C0541"/>
    <w:rsid w:val="002C1549"/>
    <w:rsid w:val="002C3DDD"/>
    <w:rsid w:val="002D2A1D"/>
    <w:rsid w:val="002E7CF1"/>
    <w:rsid w:val="002F0385"/>
    <w:rsid w:val="00322811"/>
    <w:rsid w:val="00322D43"/>
    <w:rsid w:val="003240DA"/>
    <w:rsid w:val="00326219"/>
    <w:rsid w:val="00356860"/>
    <w:rsid w:val="00356F3F"/>
    <w:rsid w:val="00376EE6"/>
    <w:rsid w:val="00385157"/>
    <w:rsid w:val="00396C5A"/>
    <w:rsid w:val="003B1FCE"/>
    <w:rsid w:val="003B3986"/>
    <w:rsid w:val="003C7D67"/>
    <w:rsid w:val="003D154A"/>
    <w:rsid w:val="003D3793"/>
    <w:rsid w:val="003D3FB7"/>
    <w:rsid w:val="003E6885"/>
    <w:rsid w:val="00443947"/>
    <w:rsid w:val="00443C3B"/>
    <w:rsid w:val="0045080A"/>
    <w:rsid w:val="00465E85"/>
    <w:rsid w:val="00474285"/>
    <w:rsid w:val="004828F3"/>
    <w:rsid w:val="004903C6"/>
    <w:rsid w:val="00492936"/>
    <w:rsid w:val="004D4C6D"/>
    <w:rsid w:val="004D62A7"/>
    <w:rsid w:val="004D64A8"/>
    <w:rsid w:val="004F4C6E"/>
    <w:rsid w:val="00501317"/>
    <w:rsid w:val="005124F4"/>
    <w:rsid w:val="00521DAB"/>
    <w:rsid w:val="0056401D"/>
    <w:rsid w:val="005672F1"/>
    <w:rsid w:val="005730F5"/>
    <w:rsid w:val="00585469"/>
    <w:rsid w:val="005E483C"/>
    <w:rsid w:val="005F07F6"/>
    <w:rsid w:val="00632D2C"/>
    <w:rsid w:val="00635881"/>
    <w:rsid w:val="006367E2"/>
    <w:rsid w:val="00636E21"/>
    <w:rsid w:val="006465E1"/>
    <w:rsid w:val="00666F25"/>
    <w:rsid w:val="006721BF"/>
    <w:rsid w:val="00677E37"/>
    <w:rsid w:val="006E77B9"/>
    <w:rsid w:val="00721802"/>
    <w:rsid w:val="00725577"/>
    <w:rsid w:val="0074287C"/>
    <w:rsid w:val="0075244E"/>
    <w:rsid w:val="00756F04"/>
    <w:rsid w:val="00761D3B"/>
    <w:rsid w:val="00762C0C"/>
    <w:rsid w:val="007753E0"/>
    <w:rsid w:val="00785FA6"/>
    <w:rsid w:val="007924D5"/>
    <w:rsid w:val="007D2FB3"/>
    <w:rsid w:val="007D6699"/>
    <w:rsid w:val="007E533F"/>
    <w:rsid w:val="007F03BF"/>
    <w:rsid w:val="007F0B8B"/>
    <w:rsid w:val="008015A8"/>
    <w:rsid w:val="00816B5E"/>
    <w:rsid w:val="00871E8A"/>
    <w:rsid w:val="008B44D5"/>
    <w:rsid w:val="008C0C30"/>
    <w:rsid w:val="008C42CC"/>
    <w:rsid w:val="008C4FD7"/>
    <w:rsid w:val="00900995"/>
    <w:rsid w:val="00910DB8"/>
    <w:rsid w:val="00920167"/>
    <w:rsid w:val="009217D9"/>
    <w:rsid w:val="009421F5"/>
    <w:rsid w:val="00974CBA"/>
    <w:rsid w:val="00990C71"/>
    <w:rsid w:val="00997E92"/>
    <w:rsid w:val="009A6800"/>
    <w:rsid w:val="009B52B0"/>
    <w:rsid w:val="009D05E7"/>
    <w:rsid w:val="009D6D61"/>
    <w:rsid w:val="009E75C5"/>
    <w:rsid w:val="009F5BA8"/>
    <w:rsid w:val="00A33CD7"/>
    <w:rsid w:val="00A404BF"/>
    <w:rsid w:val="00A43722"/>
    <w:rsid w:val="00A84315"/>
    <w:rsid w:val="00AA7489"/>
    <w:rsid w:val="00AD68DB"/>
    <w:rsid w:val="00AE1855"/>
    <w:rsid w:val="00AF024A"/>
    <w:rsid w:val="00B018FB"/>
    <w:rsid w:val="00B05CE7"/>
    <w:rsid w:val="00B2542B"/>
    <w:rsid w:val="00B31420"/>
    <w:rsid w:val="00B31CF3"/>
    <w:rsid w:val="00B353EC"/>
    <w:rsid w:val="00B43593"/>
    <w:rsid w:val="00B541E6"/>
    <w:rsid w:val="00B65C89"/>
    <w:rsid w:val="00B7332B"/>
    <w:rsid w:val="00B829C8"/>
    <w:rsid w:val="00B97665"/>
    <w:rsid w:val="00BA69E1"/>
    <w:rsid w:val="00BB29B8"/>
    <w:rsid w:val="00BB3A84"/>
    <w:rsid w:val="00BC17F0"/>
    <w:rsid w:val="00BC7CDF"/>
    <w:rsid w:val="00BE5F6F"/>
    <w:rsid w:val="00BF2EE8"/>
    <w:rsid w:val="00BF687B"/>
    <w:rsid w:val="00C01D6F"/>
    <w:rsid w:val="00C12F1E"/>
    <w:rsid w:val="00C20185"/>
    <w:rsid w:val="00C36EEB"/>
    <w:rsid w:val="00C4407F"/>
    <w:rsid w:val="00C5337D"/>
    <w:rsid w:val="00C55597"/>
    <w:rsid w:val="00C6090F"/>
    <w:rsid w:val="00C60C1A"/>
    <w:rsid w:val="00C63547"/>
    <w:rsid w:val="00C63977"/>
    <w:rsid w:val="00C67ED5"/>
    <w:rsid w:val="00CA136F"/>
    <w:rsid w:val="00CA2905"/>
    <w:rsid w:val="00CB3822"/>
    <w:rsid w:val="00CD42C9"/>
    <w:rsid w:val="00CE6E46"/>
    <w:rsid w:val="00CF7AC7"/>
    <w:rsid w:val="00D0295D"/>
    <w:rsid w:val="00D22171"/>
    <w:rsid w:val="00D23BCA"/>
    <w:rsid w:val="00D26BD3"/>
    <w:rsid w:val="00D47DB2"/>
    <w:rsid w:val="00D47F3C"/>
    <w:rsid w:val="00D52E94"/>
    <w:rsid w:val="00D61671"/>
    <w:rsid w:val="00D71D7B"/>
    <w:rsid w:val="00D75C69"/>
    <w:rsid w:val="00D771DB"/>
    <w:rsid w:val="00DC1BCA"/>
    <w:rsid w:val="00DC25B3"/>
    <w:rsid w:val="00DC4CF9"/>
    <w:rsid w:val="00DE5B11"/>
    <w:rsid w:val="00DE6567"/>
    <w:rsid w:val="00DF5964"/>
    <w:rsid w:val="00E2708E"/>
    <w:rsid w:val="00E34245"/>
    <w:rsid w:val="00E51B44"/>
    <w:rsid w:val="00E53A1A"/>
    <w:rsid w:val="00E55AB5"/>
    <w:rsid w:val="00E846CB"/>
    <w:rsid w:val="00EB2611"/>
    <w:rsid w:val="00EE1B06"/>
    <w:rsid w:val="00EF4482"/>
    <w:rsid w:val="00F04A2C"/>
    <w:rsid w:val="00F239CE"/>
    <w:rsid w:val="00F32E3A"/>
    <w:rsid w:val="00F3726F"/>
    <w:rsid w:val="00F37B36"/>
    <w:rsid w:val="00F64E7A"/>
    <w:rsid w:val="00F841BB"/>
    <w:rsid w:val="00FB7E72"/>
    <w:rsid w:val="00FC0CF2"/>
    <w:rsid w:val="00FF5144"/>
    <w:rsid w:val="00FF7B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800D2"/>
  <w15:chartTrackingRefBased/>
  <w15:docId w15:val="{ABECF605-424C-3943-8073-62F029F57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7D9"/>
    <w:rPr>
      <w:rFonts w:ascii="Times New Roman" w:eastAsia="Times New Roman" w:hAnsi="Times New Roman" w:cs="Times New Roman"/>
      <w:lang w:val="es-ES" w:eastAsia="es-MX"/>
    </w:rPr>
  </w:style>
  <w:style w:type="paragraph" w:styleId="Ttulo1">
    <w:name w:val="heading 1"/>
    <w:basedOn w:val="Normal"/>
    <w:next w:val="Normal"/>
    <w:link w:val="Ttulo1Car"/>
    <w:uiPriority w:val="9"/>
    <w:qFormat/>
    <w:rsid w:val="004828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Ttulo2">
    <w:name w:val="heading 2"/>
    <w:basedOn w:val="Normal"/>
    <w:next w:val="Normal"/>
    <w:link w:val="Ttulo2Car"/>
    <w:uiPriority w:val="9"/>
    <w:unhideWhenUsed/>
    <w:qFormat/>
    <w:rsid w:val="004828F3"/>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28F3"/>
    <w:rPr>
      <w:rFonts w:asciiTheme="majorHAnsi" w:eastAsiaTheme="majorEastAsia" w:hAnsiTheme="majorHAnsi" w:cstheme="majorBidi"/>
      <w:color w:val="2F5496" w:themeColor="accent1" w:themeShade="BF"/>
      <w:sz w:val="32"/>
      <w:szCs w:val="32"/>
      <w:lang w:val="es-ES_tradnl"/>
    </w:rPr>
  </w:style>
  <w:style w:type="character" w:customStyle="1" w:styleId="Ttulo2Car">
    <w:name w:val="Título 2 Car"/>
    <w:basedOn w:val="Fuentedeprrafopredeter"/>
    <w:link w:val="Ttulo2"/>
    <w:uiPriority w:val="9"/>
    <w:rsid w:val="004828F3"/>
    <w:rPr>
      <w:rFonts w:asciiTheme="majorHAnsi" w:eastAsiaTheme="majorEastAsia" w:hAnsiTheme="majorHAnsi" w:cstheme="majorBidi"/>
      <w:color w:val="2F5496" w:themeColor="accent1" w:themeShade="BF"/>
      <w:sz w:val="26"/>
      <w:szCs w:val="26"/>
      <w:lang w:val="es-ES_tradnl"/>
    </w:rPr>
  </w:style>
  <w:style w:type="paragraph" w:styleId="Prrafodelista">
    <w:name w:val="List Paragraph"/>
    <w:aliases w:val="AB List 1,Bullet Points,Bullet List,FooterText,numbered,Paragraphe de liste1,List Paragraph1,Bulletr List Paragraph,Párrafo de lista1,CNBV Parrafo1,Parrafo 1"/>
    <w:basedOn w:val="Normal"/>
    <w:link w:val="PrrafodelistaCar"/>
    <w:uiPriority w:val="34"/>
    <w:qFormat/>
    <w:rsid w:val="004828F3"/>
    <w:pPr>
      <w:spacing w:after="160" w:line="259" w:lineRule="auto"/>
      <w:ind w:left="720"/>
      <w:contextualSpacing/>
    </w:pPr>
    <w:rPr>
      <w:rFonts w:asciiTheme="minorHAnsi" w:eastAsiaTheme="minorHAnsi" w:hAnsiTheme="minorHAnsi" w:cstheme="minorBidi"/>
      <w:sz w:val="22"/>
      <w:szCs w:val="22"/>
      <w:lang w:eastAsia="en-US"/>
    </w:rPr>
  </w:style>
  <w:style w:type="table" w:styleId="Tablaconcuadrcula">
    <w:name w:val="Table Grid"/>
    <w:basedOn w:val="Tablanormal"/>
    <w:uiPriority w:val="39"/>
    <w:rsid w:val="004828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D05E7"/>
    <w:pPr>
      <w:tabs>
        <w:tab w:val="center" w:pos="4419"/>
        <w:tab w:val="right" w:pos="8838"/>
      </w:tabs>
    </w:pPr>
  </w:style>
  <w:style w:type="character" w:customStyle="1" w:styleId="EncabezadoCar">
    <w:name w:val="Encabezado Car"/>
    <w:basedOn w:val="Fuentedeprrafopredeter"/>
    <w:link w:val="Encabezado"/>
    <w:uiPriority w:val="99"/>
    <w:rsid w:val="009D05E7"/>
    <w:rPr>
      <w:rFonts w:ascii="Times New Roman" w:eastAsia="Times New Roman" w:hAnsi="Times New Roman" w:cs="Times New Roman"/>
      <w:lang w:val="es-ES" w:eastAsia="es-ES_tradnl"/>
    </w:rPr>
  </w:style>
  <w:style w:type="paragraph" w:styleId="Piedepgina">
    <w:name w:val="footer"/>
    <w:basedOn w:val="Normal"/>
    <w:link w:val="PiedepginaCar"/>
    <w:uiPriority w:val="99"/>
    <w:unhideWhenUsed/>
    <w:rsid w:val="009D05E7"/>
    <w:pPr>
      <w:tabs>
        <w:tab w:val="center" w:pos="4419"/>
        <w:tab w:val="right" w:pos="8838"/>
      </w:tabs>
    </w:pPr>
  </w:style>
  <w:style w:type="character" w:customStyle="1" w:styleId="PiedepginaCar">
    <w:name w:val="Pie de página Car"/>
    <w:basedOn w:val="Fuentedeprrafopredeter"/>
    <w:link w:val="Piedepgina"/>
    <w:uiPriority w:val="99"/>
    <w:rsid w:val="009D05E7"/>
    <w:rPr>
      <w:rFonts w:ascii="Times New Roman" w:eastAsia="Times New Roman" w:hAnsi="Times New Roman" w:cs="Times New Roman"/>
      <w:lang w:val="es-ES" w:eastAsia="es-ES_tradnl"/>
    </w:rPr>
  </w:style>
  <w:style w:type="paragraph" w:styleId="Textonotapie">
    <w:name w:val="footnote text"/>
    <w:basedOn w:val="Normal"/>
    <w:link w:val="TextonotapieCar"/>
    <w:uiPriority w:val="99"/>
    <w:semiHidden/>
    <w:unhideWhenUsed/>
    <w:rsid w:val="00443C3B"/>
    <w:rPr>
      <w:rFonts w:asciiTheme="minorHAnsi" w:eastAsiaTheme="minorHAnsi" w:hAnsiTheme="minorHAnsi" w:cstheme="minorBidi"/>
      <w:sz w:val="20"/>
      <w:szCs w:val="20"/>
      <w:lang w:val="es-ES_tradnl" w:eastAsia="en-US"/>
    </w:rPr>
  </w:style>
  <w:style w:type="character" w:customStyle="1" w:styleId="TextonotapieCar">
    <w:name w:val="Texto nota pie Car"/>
    <w:basedOn w:val="Fuentedeprrafopredeter"/>
    <w:link w:val="Textonotapie"/>
    <w:uiPriority w:val="99"/>
    <w:semiHidden/>
    <w:rsid w:val="00443C3B"/>
    <w:rPr>
      <w:sz w:val="20"/>
      <w:szCs w:val="20"/>
      <w:lang w:val="es-ES_tradnl"/>
    </w:rPr>
  </w:style>
  <w:style w:type="character" w:styleId="Refdenotaalpie">
    <w:name w:val="footnote reference"/>
    <w:basedOn w:val="Fuentedeprrafopredeter"/>
    <w:uiPriority w:val="99"/>
    <w:semiHidden/>
    <w:unhideWhenUsed/>
    <w:rsid w:val="00443C3B"/>
    <w:rPr>
      <w:vertAlign w:val="superscript"/>
    </w:rPr>
  </w:style>
  <w:style w:type="character" w:customStyle="1" w:styleId="normaltextrun">
    <w:name w:val="normaltextrun"/>
    <w:basedOn w:val="Fuentedeprrafopredeter"/>
    <w:rsid w:val="001A6622"/>
  </w:style>
  <w:style w:type="paragraph" w:styleId="TtuloTDC">
    <w:name w:val="TOC Heading"/>
    <w:basedOn w:val="Ttulo1"/>
    <w:next w:val="Normal"/>
    <w:uiPriority w:val="39"/>
    <w:unhideWhenUsed/>
    <w:qFormat/>
    <w:rsid w:val="000D019A"/>
    <w:pPr>
      <w:spacing w:before="480" w:line="276" w:lineRule="auto"/>
      <w:outlineLvl w:val="9"/>
    </w:pPr>
    <w:rPr>
      <w:b/>
      <w:bCs/>
      <w:sz w:val="28"/>
      <w:szCs w:val="28"/>
      <w:lang w:val="es-MX" w:eastAsia="es-MX"/>
    </w:rPr>
  </w:style>
  <w:style w:type="paragraph" w:styleId="TDC1">
    <w:name w:val="toc 1"/>
    <w:basedOn w:val="Normal"/>
    <w:next w:val="Normal"/>
    <w:autoRedefine/>
    <w:uiPriority w:val="39"/>
    <w:unhideWhenUsed/>
    <w:rsid w:val="000D019A"/>
    <w:pPr>
      <w:spacing w:before="120"/>
    </w:pPr>
    <w:rPr>
      <w:rFonts w:asciiTheme="minorHAnsi" w:hAnsiTheme="minorHAnsi"/>
      <w:b/>
      <w:bCs/>
      <w:i/>
      <w:iCs/>
    </w:rPr>
  </w:style>
  <w:style w:type="paragraph" w:styleId="TDC2">
    <w:name w:val="toc 2"/>
    <w:basedOn w:val="Normal"/>
    <w:next w:val="Normal"/>
    <w:autoRedefine/>
    <w:uiPriority w:val="39"/>
    <w:unhideWhenUsed/>
    <w:rsid w:val="000D019A"/>
    <w:pPr>
      <w:spacing w:before="120"/>
      <w:ind w:left="240"/>
    </w:pPr>
    <w:rPr>
      <w:rFonts w:asciiTheme="minorHAnsi" w:hAnsiTheme="minorHAnsi"/>
      <w:b/>
      <w:bCs/>
      <w:sz w:val="22"/>
      <w:szCs w:val="22"/>
    </w:rPr>
  </w:style>
  <w:style w:type="character" w:styleId="Hipervnculo">
    <w:name w:val="Hyperlink"/>
    <w:basedOn w:val="Fuentedeprrafopredeter"/>
    <w:uiPriority w:val="99"/>
    <w:unhideWhenUsed/>
    <w:rsid w:val="000D019A"/>
    <w:rPr>
      <w:color w:val="0563C1" w:themeColor="hyperlink"/>
      <w:u w:val="single"/>
    </w:rPr>
  </w:style>
  <w:style w:type="paragraph" w:styleId="TDC3">
    <w:name w:val="toc 3"/>
    <w:basedOn w:val="Normal"/>
    <w:next w:val="Normal"/>
    <w:autoRedefine/>
    <w:uiPriority w:val="39"/>
    <w:semiHidden/>
    <w:unhideWhenUsed/>
    <w:rsid w:val="000D019A"/>
    <w:pPr>
      <w:ind w:left="480"/>
    </w:pPr>
    <w:rPr>
      <w:rFonts w:asciiTheme="minorHAnsi" w:hAnsiTheme="minorHAnsi"/>
      <w:sz w:val="20"/>
      <w:szCs w:val="20"/>
    </w:rPr>
  </w:style>
  <w:style w:type="paragraph" w:styleId="TDC4">
    <w:name w:val="toc 4"/>
    <w:basedOn w:val="Normal"/>
    <w:next w:val="Normal"/>
    <w:autoRedefine/>
    <w:uiPriority w:val="39"/>
    <w:semiHidden/>
    <w:unhideWhenUsed/>
    <w:rsid w:val="000D019A"/>
    <w:pPr>
      <w:ind w:left="720"/>
    </w:pPr>
    <w:rPr>
      <w:rFonts w:asciiTheme="minorHAnsi" w:hAnsiTheme="minorHAnsi"/>
      <w:sz w:val="20"/>
      <w:szCs w:val="20"/>
    </w:rPr>
  </w:style>
  <w:style w:type="paragraph" w:styleId="TDC5">
    <w:name w:val="toc 5"/>
    <w:basedOn w:val="Normal"/>
    <w:next w:val="Normal"/>
    <w:autoRedefine/>
    <w:uiPriority w:val="39"/>
    <w:semiHidden/>
    <w:unhideWhenUsed/>
    <w:rsid w:val="000D019A"/>
    <w:pPr>
      <w:ind w:left="960"/>
    </w:pPr>
    <w:rPr>
      <w:rFonts w:asciiTheme="minorHAnsi" w:hAnsiTheme="minorHAnsi"/>
      <w:sz w:val="20"/>
      <w:szCs w:val="20"/>
    </w:rPr>
  </w:style>
  <w:style w:type="paragraph" w:styleId="TDC6">
    <w:name w:val="toc 6"/>
    <w:basedOn w:val="Normal"/>
    <w:next w:val="Normal"/>
    <w:autoRedefine/>
    <w:uiPriority w:val="39"/>
    <w:semiHidden/>
    <w:unhideWhenUsed/>
    <w:rsid w:val="000D019A"/>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0D019A"/>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0D019A"/>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0D019A"/>
    <w:pPr>
      <w:ind w:left="1920"/>
    </w:pPr>
    <w:rPr>
      <w:rFonts w:asciiTheme="minorHAnsi" w:hAnsiTheme="minorHAnsi"/>
      <w:sz w:val="20"/>
      <w:szCs w:val="20"/>
    </w:rPr>
  </w:style>
  <w:style w:type="paragraph" w:styleId="Textodeglobo">
    <w:name w:val="Balloon Text"/>
    <w:basedOn w:val="Normal"/>
    <w:link w:val="TextodegloboCar"/>
    <w:uiPriority w:val="99"/>
    <w:semiHidden/>
    <w:unhideWhenUsed/>
    <w:rsid w:val="00F32E3A"/>
    <w:rPr>
      <w:sz w:val="18"/>
      <w:szCs w:val="18"/>
    </w:rPr>
  </w:style>
  <w:style w:type="character" w:customStyle="1" w:styleId="TextodegloboCar">
    <w:name w:val="Texto de globo Car"/>
    <w:basedOn w:val="Fuentedeprrafopredeter"/>
    <w:link w:val="Textodeglobo"/>
    <w:uiPriority w:val="99"/>
    <w:semiHidden/>
    <w:rsid w:val="00F32E3A"/>
    <w:rPr>
      <w:rFonts w:ascii="Times New Roman" w:eastAsia="Times New Roman" w:hAnsi="Times New Roman" w:cs="Times New Roman"/>
      <w:sz w:val="18"/>
      <w:szCs w:val="18"/>
      <w:lang w:val="es-ES" w:eastAsia="es-MX"/>
    </w:rPr>
  </w:style>
  <w:style w:type="paragraph" w:styleId="Revisin">
    <w:name w:val="Revision"/>
    <w:hidden/>
    <w:uiPriority w:val="99"/>
    <w:semiHidden/>
    <w:rsid w:val="00CA136F"/>
    <w:rPr>
      <w:rFonts w:ascii="Times New Roman" w:eastAsia="Times New Roman" w:hAnsi="Times New Roman" w:cs="Times New Roman"/>
      <w:lang w:val="es-ES" w:eastAsia="es-MX"/>
    </w:rPr>
  </w:style>
  <w:style w:type="character" w:styleId="Refdecomentario">
    <w:name w:val="annotation reference"/>
    <w:basedOn w:val="Fuentedeprrafopredeter"/>
    <w:uiPriority w:val="99"/>
    <w:semiHidden/>
    <w:unhideWhenUsed/>
    <w:rsid w:val="00217E5F"/>
    <w:rPr>
      <w:sz w:val="16"/>
      <w:szCs w:val="16"/>
    </w:rPr>
  </w:style>
  <w:style w:type="paragraph" w:styleId="Textocomentario">
    <w:name w:val="annotation text"/>
    <w:basedOn w:val="Normal"/>
    <w:link w:val="TextocomentarioCar"/>
    <w:uiPriority w:val="99"/>
    <w:semiHidden/>
    <w:unhideWhenUsed/>
    <w:rsid w:val="00217E5F"/>
    <w:rPr>
      <w:sz w:val="20"/>
      <w:szCs w:val="20"/>
    </w:rPr>
  </w:style>
  <w:style w:type="character" w:customStyle="1" w:styleId="TextocomentarioCar">
    <w:name w:val="Texto comentario Car"/>
    <w:basedOn w:val="Fuentedeprrafopredeter"/>
    <w:link w:val="Textocomentario"/>
    <w:uiPriority w:val="99"/>
    <w:semiHidden/>
    <w:rsid w:val="00217E5F"/>
    <w:rPr>
      <w:rFonts w:ascii="Times New Roman" w:eastAsia="Times New Roman" w:hAnsi="Times New Roman" w:cs="Times New Roman"/>
      <w:sz w:val="20"/>
      <w:szCs w:val="20"/>
      <w:lang w:val="es-ES" w:eastAsia="es-MX"/>
    </w:rPr>
  </w:style>
  <w:style w:type="paragraph" w:styleId="Asuntodelcomentario">
    <w:name w:val="annotation subject"/>
    <w:basedOn w:val="Textocomentario"/>
    <w:next w:val="Textocomentario"/>
    <w:link w:val="AsuntodelcomentarioCar"/>
    <w:uiPriority w:val="99"/>
    <w:semiHidden/>
    <w:unhideWhenUsed/>
    <w:rsid w:val="00FB7E72"/>
    <w:rPr>
      <w:b/>
      <w:bCs/>
    </w:rPr>
  </w:style>
  <w:style w:type="character" w:customStyle="1" w:styleId="AsuntodelcomentarioCar">
    <w:name w:val="Asunto del comentario Car"/>
    <w:basedOn w:val="TextocomentarioCar"/>
    <w:link w:val="Asuntodelcomentario"/>
    <w:uiPriority w:val="99"/>
    <w:semiHidden/>
    <w:rsid w:val="00FB7E72"/>
    <w:rPr>
      <w:rFonts w:ascii="Times New Roman" w:eastAsia="Times New Roman" w:hAnsi="Times New Roman" w:cs="Times New Roman"/>
      <w:b/>
      <w:bCs/>
      <w:sz w:val="20"/>
      <w:szCs w:val="20"/>
      <w:lang w:val="es-ES" w:eastAsia="es-MX"/>
    </w:rPr>
  </w:style>
  <w:style w:type="character" w:customStyle="1" w:styleId="PrrafodelistaCar">
    <w:name w:val="Párrafo de lista Car"/>
    <w:aliases w:val="AB List 1 Car,Bullet Points Car,Bullet List Car,FooterText Car,numbered Car,Paragraphe de liste1 Car,List Paragraph1 Car,Bulletr List Paragraph Car,Párrafo de lista1 Car,CNBV Parrafo1 Car,Parrafo 1 Car"/>
    <w:link w:val="Prrafodelista"/>
    <w:uiPriority w:val="34"/>
    <w:rsid w:val="0074287C"/>
    <w:rPr>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32694">
      <w:bodyDiv w:val="1"/>
      <w:marLeft w:val="0"/>
      <w:marRight w:val="0"/>
      <w:marTop w:val="0"/>
      <w:marBottom w:val="0"/>
      <w:divBdr>
        <w:top w:val="none" w:sz="0" w:space="0" w:color="auto"/>
        <w:left w:val="none" w:sz="0" w:space="0" w:color="auto"/>
        <w:bottom w:val="none" w:sz="0" w:space="0" w:color="auto"/>
        <w:right w:val="none" w:sz="0" w:space="0" w:color="auto"/>
      </w:divBdr>
    </w:div>
    <w:div w:id="274094481">
      <w:bodyDiv w:val="1"/>
      <w:marLeft w:val="0"/>
      <w:marRight w:val="0"/>
      <w:marTop w:val="0"/>
      <w:marBottom w:val="0"/>
      <w:divBdr>
        <w:top w:val="none" w:sz="0" w:space="0" w:color="auto"/>
        <w:left w:val="none" w:sz="0" w:space="0" w:color="auto"/>
        <w:bottom w:val="none" w:sz="0" w:space="0" w:color="auto"/>
        <w:right w:val="none" w:sz="0" w:space="0" w:color="auto"/>
      </w:divBdr>
    </w:div>
    <w:div w:id="430735088">
      <w:bodyDiv w:val="1"/>
      <w:marLeft w:val="0"/>
      <w:marRight w:val="0"/>
      <w:marTop w:val="0"/>
      <w:marBottom w:val="0"/>
      <w:divBdr>
        <w:top w:val="none" w:sz="0" w:space="0" w:color="auto"/>
        <w:left w:val="none" w:sz="0" w:space="0" w:color="auto"/>
        <w:bottom w:val="none" w:sz="0" w:space="0" w:color="auto"/>
        <w:right w:val="none" w:sz="0" w:space="0" w:color="auto"/>
      </w:divBdr>
    </w:div>
    <w:div w:id="450251906">
      <w:bodyDiv w:val="1"/>
      <w:marLeft w:val="0"/>
      <w:marRight w:val="0"/>
      <w:marTop w:val="0"/>
      <w:marBottom w:val="0"/>
      <w:divBdr>
        <w:top w:val="none" w:sz="0" w:space="0" w:color="auto"/>
        <w:left w:val="none" w:sz="0" w:space="0" w:color="auto"/>
        <w:bottom w:val="none" w:sz="0" w:space="0" w:color="auto"/>
        <w:right w:val="none" w:sz="0" w:space="0" w:color="auto"/>
      </w:divBdr>
    </w:div>
    <w:div w:id="473451103">
      <w:bodyDiv w:val="1"/>
      <w:marLeft w:val="0"/>
      <w:marRight w:val="0"/>
      <w:marTop w:val="0"/>
      <w:marBottom w:val="0"/>
      <w:divBdr>
        <w:top w:val="none" w:sz="0" w:space="0" w:color="auto"/>
        <w:left w:val="none" w:sz="0" w:space="0" w:color="auto"/>
        <w:bottom w:val="none" w:sz="0" w:space="0" w:color="auto"/>
        <w:right w:val="none" w:sz="0" w:space="0" w:color="auto"/>
      </w:divBdr>
    </w:div>
    <w:div w:id="550701052">
      <w:bodyDiv w:val="1"/>
      <w:marLeft w:val="0"/>
      <w:marRight w:val="0"/>
      <w:marTop w:val="0"/>
      <w:marBottom w:val="0"/>
      <w:divBdr>
        <w:top w:val="none" w:sz="0" w:space="0" w:color="auto"/>
        <w:left w:val="none" w:sz="0" w:space="0" w:color="auto"/>
        <w:bottom w:val="none" w:sz="0" w:space="0" w:color="auto"/>
        <w:right w:val="none" w:sz="0" w:space="0" w:color="auto"/>
      </w:divBdr>
    </w:div>
    <w:div w:id="647709904">
      <w:bodyDiv w:val="1"/>
      <w:marLeft w:val="0"/>
      <w:marRight w:val="0"/>
      <w:marTop w:val="0"/>
      <w:marBottom w:val="0"/>
      <w:divBdr>
        <w:top w:val="none" w:sz="0" w:space="0" w:color="auto"/>
        <w:left w:val="none" w:sz="0" w:space="0" w:color="auto"/>
        <w:bottom w:val="none" w:sz="0" w:space="0" w:color="auto"/>
        <w:right w:val="none" w:sz="0" w:space="0" w:color="auto"/>
      </w:divBdr>
    </w:div>
    <w:div w:id="887883800">
      <w:bodyDiv w:val="1"/>
      <w:marLeft w:val="0"/>
      <w:marRight w:val="0"/>
      <w:marTop w:val="0"/>
      <w:marBottom w:val="0"/>
      <w:divBdr>
        <w:top w:val="none" w:sz="0" w:space="0" w:color="auto"/>
        <w:left w:val="none" w:sz="0" w:space="0" w:color="auto"/>
        <w:bottom w:val="none" w:sz="0" w:space="0" w:color="auto"/>
        <w:right w:val="none" w:sz="0" w:space="0" w:color="auto"/>
      </w:divBdr>
    </w:div>
    <w:div w:id="992486409">
      <w:bodyDiv w:val="1"/>
      <w:marLeft w:val="0"/>
      <w:marRight w:val="0"/>
      <w:marTop w:val="0"/>
      <w:marBottom w:val="0"/>
      <w:divBdr>
        <w:top w:val="none" w:sz="0" w:space="0" w:color="auto"/>
        <w:left w:val="none" w:sz="0" w:space="0" w:color="auto"/>
        <w:bottom w:val="none" w:sz="0" w:space="0" w:color="auto"/>
        <w:right w:val="none" w:sz="0" w:space="0" w:color="auto"/>
      </w:divBdr>
    </w:div>
    <w:div w:id="1119564200">
      <w:bodyDiv w:val="1"/>
      <w:marLeft w:val="0"/>
      <w:marRight w:val="0"/>
      <w:marTop w:val="0"/>
      <w:marBottom w:val="0"/>
      <w:divBdr>
        <w:top w:val="none" w:sz="0" w:space="0" w:color="auto"/>
        <w:left w:val="none" w:sz="0" w:space="0" w:color="auto"/>
        <w:bottom w:val="none" w:sz="0" w:space="0" w:color="auto"/>
        <w:right w:val="none" w:sz="0" w:space="0" w:color="auto"/>
      </w:divBdr>
    </w:div>
    <w:div w:id="1202480852">
      <w:bodyDiv w:val="1"/>
      <w:marLeft w:val="0"/>
      <w:marRight w:val="0"/>
      <w:marTop w:val="0"/>
      <w:marBottom w:val="0"/>
      <w:divBdr>
        <w:top w:val="none" w:sz="0" w:space="0" w:color="auto"/>
        <w:left w:val="none" w:sz="0" w:space="0" w:color="auto"/>
        <w:bottom w:val="none" w:sz="0" w:space="0" w:color="auto"/>
        <w:right w:val="none" w:sz="0" w:space="0" w:color="auto"/>
      </w:divBdr>
    </w:div>
    <w:div w:id="1210072897">
      <w:bodyDiv w:val="1"/>
      <w:marLeft w:val="0"/>
      <w:marRight w:val="0"/>
      <w:marTop w:val="0"/>
      <w:marBottom w:val="0"/>
      <w:divBdr>
        <w:top w:val="none" w:sz="0" w:space="0" w:color="auto"/>
        <w:left w:val="none" w:sz="0" w:space="0" w:color="auto"/>
        <w:bottom w:val="none" w:sz="0" w:space="0" w:color="auto"/>
        <w:right w:val="none" w:sz="0" w:space="0" w:color="auto"/>
      </w:divBdr>
    </w:div>
    <w:div w:id="1239904394">
      <w:bodyDiv w:val="1"/>
      <w:marLeft w:val="0"/>
      <w:marRight w:val="0"/>
      <w:marTop w:val="0"/>
      <w:marBottom w:val="0"/>
      <w:divBdr>
        <w:top w:val="none" w:sz="0" w:space="0" w:color="auto"/>
        <w:left w:val="none" w:sz="0" w:space="0" w:color="auto"/>
        <w:bottom w:val="none" w:sz="0" w:space="0" w:color="auto"/>
        <w:right w:val="none" w:sz="0" w:space="0" w:color="auto"/>
      </w:divBdr>
    </w:div>
    <w:div w:id="1290744068">
      <w:bodyDiv w:val="1"/>
      <w:marLeft w:val="0"/>
      <w:marRight w:val="0"/>
      <w:marTop w:val="0"/>
      <w:marBottom w:val="0"/>
      <w:divBdr>
        <w:top w:val="none" w:sz="0" w:space="0" w:color="auto"/>
        <w:left w:val="none" w:sz="0" w:space="0" w:color="auto"/>
        <w:bottom w:val="none" w:sz="0" w:space="0" w:color="auto"/>
        <w:right w:val="none" w:sz="0" w:space="0" w:color="auto"/>
      </w:divBdr>
    </w:div>
    <w:div w:id="1415205137">
      <w:bodyDiv w:val="1"/>
      <w:marLeft w:val="0"/>
      <w:marRight w:val="0"/>
      <w:marTop w:val="0"/>
      <w:marBottom w:val="0"/>
      <w:divBdr>
        <w:top w:val="none" w:sz="0" w:space="0" w:color="auto"/>
        <w:left w:val="none" w:sz="0" w:space="0" w:color="auto"/>
        <w:bottom w:val="none" w:sz="0" w:space="0" w:color="auto"/>
        <w:right w:val="none" w:sz="0" w:space="0" w:color="auto"/>
      </w:divBdr>
    </w:div>
    <w:div w:id="1656296607">
      <w:bodyDiv w:val="1"/>
      <w:marLeft w:val="0"/>
      <w:marRight w:val="0"/>
      <w:marTop w:val="0"/>
      <w:marBottom w:val="0"/>
      <w:divBdr>
        <w:top w:val="none" w:sz="0" w:space="0" w:color="auto"/>
        <w:left w:val="none" w:sz="0" w:space="0" w:color="auto"/>
        <w:bottom w:val="none" w:sz="0" w:space="0" w:color="auto"/>
        <w:right w:val="none" w:sz="0" w:space="0" w:color="auto"/>
      </w:divBdr>
    </w:div>
    <w:div w:id="195756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fodf.org.mx/LTAIPRC-2016-OT/Art121/Fr01/2019/Acuerdos/A121Fr01_2019-T01_Acdo-2019-01-30-0106.pdf" TargetMode="External"/><Relationship Id="rId18" Type="http://schemas.openxmlformats.org/officeDocument/2006/relationships/hyperlink" Target="http://www.infodf.org.mx/LTAIPRC-2016-OT/Art121/Fr01/2019/Acuerdos/A121Fr01_2019-T01_Acdo-2019-01-30-0106.pdf" TargetMode="External"/><Relationship Id="rId26" Type="http://schemas.openxmlformats.org/officeDocument/2006/relationships/hyperlink" Target="http://www.infodf.org.mx/LTAIPRC-2016-OT/Art121/Fr01/2019/Acuerdos/A121Fr01_2019-T01_Acdo-2019-02-07-0147.pdf" TargetMode="External"/><Relationship Id="rId39" Type="http://schemas.openxmlformats.org/officeDocument/2006/relationships/hyperlink" Target="http://www.infodf.org.mx/LTAIPRC-2016-OT/Art121/Fr01/2019/Acuerdos/A121Fr01_2019-T01_Acdo-2019-01-30-0107.pdf" TargetMode="External"/><Relationship Id="rId21" Type="http://schemas.openxmlformats.org/officeDocument/2006/relationships/hyperlink" Target="http://www.infodf.org.mx/LTAIPRC-2016-OT/Art121/Fr01/2019/Acuerdos/A121Fr01_2019-T01_Acdo-2019-02-07-0147.pdf" TargetMode="External"/><Relationship Id="rId34" Type="http://schemas.openxmlformats.org/officeDocument/2006/relationships/hyperlink" Target="http://www.infodf.org.mx/LTAIPRC-2016-OT/Art121/Fr01/2019/Acuerdos/A121Fr01_2019-T01_Acdo-2019-01-30-0107.pdf" TargetMode="External"/><Relationship Id="rId42" Type="http://schemas.openxmlformats.org/officeDocument/2006/relationships/hyperlink" Target="http://www.infodf.org.mx/LTAIPRC-2016-OT/Art121/Fr01/2019/Acuerdos/A121Fr01_2019-T01_Acdo-2019-01-30-0107.pdf" TargetMode="External"/><Relationship Id="rId47" Type="http://schemas.openxmlformats.org/officeDocument/2006/relationships/chart" Target="charts/chart1.xml"/><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infodf.org.mx/LTAIPRC-2016-OT/Art121/Fr01/2019/Acuerdos/A121Fr01_2019-T01_Acdo-2019-01-30-0106.pdf" TargetMode="External"/><Relationship Id="rId29" Type="http://schemas.openxmlformats.org/officeDocument/2006/relationships/hyperlink" Target="http://www.infodf.org.mx/LTAIPRC-2016-OT/Art121/Fr01/2019/Acuerdos/A121Fr01_2019-T01_Acdo-2019-01-30-0107.pdf" TargetMode="External"/><Relationship Id="rId11" Type="http://schemas.openxmlformats.org/officeDocument/2006/relationships/hyperlink" Target="http://www.infodf.org.mx/LTAIPRC-2016-OT/Art121/Fr01/2019/Acuerdos/A121Fr01_2019-T01_Acdo-2019-01-30-0106.pdf" TargetMode="External"/><Relationship Id="rId24" Type="http://schemas.openxmlformats.org/officeDocument/2006/relationships/hyperlink" Target="http://www.infodf.org.mx/LTAIPRC-2016-OT/Art121/Fr01/2019/Acuerdos/A121Fr01_2019-T01_Acdo-2019-02-07-0214.pdf" TargetMode="External"/><Relationship Id="rId32" Type="http://schemas.openxmlformats.org/officeDocument/2006/relationships/hyperlink" Target="http://www.infodf.org.mx/LTAIPRC-2016-OT/Art121/Fr01/2019/Acuerdos/A121Fr01_2019-T01_Acdo-2019-01-30-0107.pdf" TargetMode="External"/><Relationship Id="rId37" Type="http://schemas.openxmlformats.org/officeDocument/2006/relationships/hyperlink" Target="http://www.infodf.org.mx/LTAIPRC-2016-OT/Art121/Fr01/2019/Acuerdos/A121Fr01_2019-T01_Acdo-2019-01-30-0107.pdf" TargetMode="External"/><Relationship Id="rId40" Type="http://schemas.openxmlformats.org/officeDocument/2006/relationships/hyperlink" Target="http://www.infodf.org.mx/LTAIPRC-2016-OT/Art121/Fr01/2019/Acuerdos/A121Fr01_2019-T01_Acdo-2019-01-30-0107.pdf" TargetMode="External"/><Relationship Id="rId45" Type="http://schemas.openxmlformats.org/officeDocument/2006/relationships/hyperlink" Target="http://www.infodf.org.mx/LTAIPRC-2016-OT/Art121/Fr01/2019/Acuerdos/A121Fr01_2019-T01_Acdo-2019-02-07-0146.pdf" TargetMode="External"/><Relationship Id="rId5" Type="http://schemas.openxmlformats.org/officeDocument/2006/relationships/numbering" Target="numbering.xml"/><Relationship Id="rId15" Type="http://schemas.openxmlformats.org/officeDocument/2006/relationships/hyperlink" Target="http://www.infodf.org.mx/LTAIPRC-2016-OT/Art121/Fr01/2019/Acuerdos/A121Fr01_2019-T01_Acdo-2019-01-30-0106.pdf" TargetMode="External"/><Relationship Id="rId23" Type="http://schemas.openxmlformats.org/officeDocument/2006/relationships/hyperlink" Target="http://www.infodf.org.mx/LTAIPRC-2016-OT/Art121/Fr01/2019/Acuerdos/A121Fr01_2019-T01_Acdo-2019-02-20-0248.pdf" TargetMode="External"/><Relationship Id="rId28" Type="http://schemas.openxmlformats.org/officeDocument/2006/relationships/hyperlink" Target="http://www.infodf.org.mx/LTAIPRC-2016-OT/Art121/Fr01/2019/Acuerdos/A121Fr01_2019-T01_Acdo-2019-01-30-0107.pdf" TargetMode="External"/><Relationship Id="rId36" Type="http://schemas.openxmlformats.org/officeDocument/2006/relationships/hyperlink" Target="http://www.infodf.org.mx/LTAIPRC-2016-OT/Art121/Fr01/2019/Acuerdos/A121Fr01_2019-T01_Acdo-2019-01-30-0107.pdf" TargetMode="Externa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infodf.org.mx/LTAIPRC-2016-OT/Art121/Fr01/2019/Acuerdos/A121Fr01_2019-T01_Acdo-2019-02-07-0147.pdf" TargetMode="External"/><Relationship Id="rId31" Type="http://schemas.openxmlformats.org/officeDocument/2006/relationships/hyperlink" Target="http://www.infodf.org.mx/LTAIPRC-2016-OT/Art121/Fr01/2019/Acuerdos/A121Fr01_2019-T01_Acdo-2019-01-30-0107.pdf" TargetMode="External"/><Relationship Id="rId44" Type="http://schemas.openxmlformats.org/officeDocument/2006/relationships/hyperlink" Target="http://www.infodf.org.mx/LTAIPRC-2016-OT/Art121/Fr01/2019/Acuerdos/A121Fr01_2019-T01_Acdo-2019-02-07-0145.pdf"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fodf.org.mx/LTAIPRC-2016-OT/Art121/Fr01/2019/Acuerdos/A121Fr01_2019-T01_Acdo-2019-01-30-0106.pdf" TargetMode="External"/><Relationship Id="rId22" Type="http://schemas.openxmlformats.org/officeDocument/2006/relationships/hyperlink" Target="http://www.infodf.org.mx/LTAIPRC-2016-OT/Art121/Fr01/2019/Acuerdos/A121Fr01_2019-T01_Acdo-2019-03-06-0370.pdf" TargetMode="External"/><Relationship Id="rId27" Type="http://schemas.openxmlformats.org/officeDocument/2006/relationships/hyperlink" Target="http://www.infodf.org.mx/LTAIPRC-2016-OT/Art121/Fr01/2019/Acuerdos/A121Fr01_2019-T01_Acdo-2019-01-30-0107.pdf" TargetMode="External"/><Relationship Id="rId30" Type="http://schemas.openxmlformats.org/officeDocument/2006/relationships/hyperlink" Target="http://www.infodf.org.mx/LTAIPRC-2016-OT/Art121/Fr01/2019/Acuerdos/A121Fr01_2019-T01_Acdo-2019-01-30-0107.pdf" TargetMode="External"/><Relationship Id="rId35" Type="http://schemas.openxmlformats.org/officeDocument/2006/relationships/hyperlink" Target="http://www.infodf.org.mx/LTAIPRC-2016-OT/Art121/Fr01/2019/Acuerdos/A121Fr01_2019-T01_Acdo-2019-01-30-0107.pdf" TargetMode="External"/><Relationship Id="rId43" Type="http://schemas.openxmlformats.org/officeDocument/2006/relationships/hyperlink" Target="http://www.infodf.org.mx/LTAIPRC-2016-OT/Art121/Fr01/2019/Acuerdos/A121Fr01_2019-T01_Acdo-2019-02-07-0144.pdf" TargetMode="External"/><Relationship Id="rId48" Type="http://schemas.openxmlformats.org/officeDocument/2006/relationships/chart" Target="charts/chart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infodf.org.mx/LTAIPRC-2016-OT/Art121/Fr01/2019/Acuerdos/A121Fr01_2019-T01_Acdo-2019-01-30-0106.pdf" TargetMode="External"/><Relationship Id="rId17" Type="http://schemas.openxmlformats.org/officeDocument/2006/relationships/hyperlink" Target="http://www.infodf.org.mx/LTAIPRC-2016-OT/Art121/Fr01/2019/Acuerdos/A121Fr01_2019-T01_Acdo-2019-01-30-0106.pdf" TargetMode="External"/><Relationship Id="rId25" Type="http://schemas.openxmlformats.org/officeDocument/2006/relationships/hyperlink" Target="http://www.infodf.org.mx/LTAIPRC-2016-OT/Art121/Fr01/2019/Acuerdos/A121Fr01_2019-T01_Acdo-2019-02-07-0214.pdf" TargetMode="External"/><Relationship Id="rId33" Type="http://schemas.openxmlformats.org/officeDocument/2006/relationships/hyperlink" Target="http://www.infodf.org.mx/LTAIPRC-2016-OT/Art121/Fr01/2019/Acuerdos/A121Fr01_2019-T01_Acdo-2019-01-30-0107.pdf" TargetMode="External"/><Relationship Id="rId38" Type="http://schemas.openxmlformats.org/officeDocument/2006/relationships/hyperlink" Target="http://www.infodf.org.mx/LTAIPRC-2016-OT/Art121/Fr01/2019/Acuerdos/A121Fr01_2019-T01_Acdo-2019-01-30-0107.pdf" TargetMode="External"/><Relationship Id="rId46" Type="http://schemas.openxmlformats.org/officeDocument/2006/relationships/image" Target="media/image1.png"/><Relationship Id="rId20" Type="http://schemas.openxmlformats.org/officeDocument/2006/relationships/hyperlink" Target="http://www.infodf.org.mx/LTAIPRC-2016-OT/Art121/Fr01/2019/Acuerdos/A121Fr01_2019-T01_Acdo-2019-02-07-0214.pdf" TargetMode="External"/><Relationship Id="rId41" Type="http://schemas.openxmlformats.org/officeDocument/2006/relationships/hyperlink" Target="http://www.infodf.org.mx/LTAIPRC-2016-OT/Art121/Fr01/2019/Acuerdos/A121Fr01_2019-T01_Acdo-2019-01-30-0107.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a:t>Resultados de la 1a evaluación vinculante 2020 por ámbito</a:t>
            </a:r>
          </a:p>
        </c:rich>
      </c:tx>
      <c:layout>
        <c:manualLayout>
          <c:xMode val="edge"/>
          <c:yMode val="edge"/>
          <c:x val="0.11697584124245039"/>
          <c:y val="1.0482176299460278E-3"/>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0.44172663312919219"/>
          <c:y val="0.25916760404949385"/>
          <c:w val="0.52123651210265387"/>
          <c:h val="0.57019747531558551"/>
        </c:manualLayout>
      </c:layout>
      <c:barChart>
        <c:barDir val="bar"/>
        <c:grouping val="stacked"/>
        <c:varyColors val="0"/>
        <c:ser>
          <c:idx val="1"/>
          <c:order val="0"/>
          <c:tx>
            <c:strRef>
              <c:f>Hoja1!$C$1</c:f>
              <c:strCache>
                <c:ptCount val="1"/>
                <c:pt idx="0">
                  <c:v>Cumplimiento total (100 puntos)</c:v>
                </c:pt>
              </c:strCache>
            </c:strRef>
          </c:tx>
          <c:spPr>
            <a:solidFill>
              <a:schemeClr val="accent6"/>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6"/>
                <c:pt idx="0">
                  <c:v>Administración Pública Centralizada</c:v>
                </c:pt>
                <c:pt idx="1">
                  <c:v>Desconcentrados y Paraestatales Descentralizados, Auxiliares</c:v>
                </c:pt>
                <c:pt idx="2">
                  <c:v>Demarcaciones Políticas / Alcaldías</c:v>
                </c:pt>
                <c:pt idx="3">
                  <c:v>Poder Legislativo</c:v>
                </c:pt>
                <c:pt idx="4">
                  <c:v>Órganos Autónomos</c:v>
                </c:pt>
                <c:pt idx="5">
                  <c:v>Sindicatos</c:v>
                </c:pt>
              </c:strCache>
            </c:strRef>
          </c:cat>
          <c:val>
            <c:numRef>
              <c:f>Hoja1!$C$2:$C$8</c:f>
              <c:numCache>
                <c:formatCode>General</c:formatCode>
                <c:ptCount val="7"/>
                <c:pt idx="0">
                  <c:v>2</c:v>
                </c:pt>
                <c:pt idx="1">
                  <c:v>1</c:v>
                </c:pt>
                <c:pt idx="2">
                  <c:v>3</c:v>
                </c:pt>
                <c:pt idx="3">
                  <c:v>0</c:v>
                </c:pt>
                <c:pt idx="4">
                  <c:v>0</c:v>
                </c:pt>
                <c:pt idx="5">
                  <c:v>0</c:v>
                </c:pt>
              </c:numCache>
            </c:numRef>
          </c:val>
          <c:extLst>
            <c:ext xmlns:c16="http://schemas.microsoft.com/office/drawing/2014/chart" uri="{C3380CC4-5D6E-409C-BE32-E72D297353CC}">
              <c16:uniqueId val="{00000000-0F1C-9C4C-94B4-2E1E20D0E960}"/>
            </c:ext>
          </c:extLst>
        </c:ser>
        <c:ser>
          <c:idx val="2"/>
          <c:order val="1"/>
          <c:tx>
            <c:strRef>
              <c:f>Hoja1!$D$1</c:f>
              <c:strCache>
                <c:ptCount val="1"/>
                <c:pt idx="0">
                  <c:v>Cumplimiento parcial (60 a 99.99 puntos)</c:v>
                </c:pt>
              </c:strCache>
            </c:strRef>
          </c:tx>
          <c:spPr>
            <a:solidFill>
              <a:schemeClr val="accent2"/>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6"/>
                <c:pt idx="0">
                  <c:v>Administración Pública Centralizada</c:v>
                </c:pt>
                <c:pt idx="1">
                  <c:v>Desconcentrados y Paraestatales Descentralizados, Auxiliares</c:v>
                </c:pt>
                <c:pt idx="2">
                  <c:v>Demarcaciones Políticas / Alcaldías</c:v>
                </c:pt>
                <c:pt idx="3">
                  <c:v>Poder Legislativo</c:v>
                </c:pt>
                <c:pt idx="4">
                  <c:v>Órganos Autónomos</c:v>
                </c:pt>
                <c:pt idx="5">
                  <c:v>Sindicatos</c:v>
                </c:pt>
              </c:strCache>
            </c:strRef>
          </c:cat>
          <c:val>
            <c:numRef>
              <c:f>Hoja1!$D$2:$D$8</c:f>
              <c:numCache>
                <c:formatCode>General</c:formatCode>
                <c:ptCount val="7"/>
                <c:pt idx="0">
                  <c:v>2</c:v>
                </c:pt>
                <c:pt idx="1">
                  <c:v>4</c:v>
                </c:pt>
                <c:pt idx="2">
                  <c:v>11</c:v>
                </c:pt>
                <c:pt idx="3">
                  <c:v>1</c:v>
                </c:pt>
                <c:pt idx="4">
                  <c:v>1</c:v>
                </c:pt>
                <c:pt idx="5">
                  <c:v>1</c:v>
                </c:pt>
              </c:numCache>
            </c:numRef>
          </c:val>
          <c:extLst>
            <c:ext xmlns:c16="http://schemas.microsoft.com/office/drawing/2014/chart" uri="{C3380CC4-5D6E-409C-BE32-E72D297353CC}">
              <c16:uniqueId val="{00000001-0F1C-9C4C-94B4-2E1E20D0E960}"/>
            </c:ext>
          </c:extLst>
        </c:ser>
        <c:ser>
          <c:idx val="3"/>
          <c:order val="2"/>
          <c:tx>
            <c:strRef>
              <c:f>Hoja1!$E$1</c:f>
              <c:strCache>
                <c:ptCount val="1"/>
                <c:pt idx="0">
                  <c:v>Incumplimiento parcial (1 a 59.99 puntos)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6"/>
                <c:pt idx="0">
                  <c:v>Administración Pública Centralizada</c:v>
                </c:pt>
                <c:pt idx="1">
                  <c:v>Desconcentrados y Paraestatales Descentralizados, Auxiliares</c:v>
                </c:pt>
                <c:pt idx="2">
                  <c:v>Demarcaciones Políticas / Alcaldías</c:v>
                </c:pt>
                <c:pt idx="3">
                  <c:v>Poder Legislativo</c:v>
                </c:pt>
                <c:pt idx="4">
                  <c:v>Órganos Autónomos</c:v>
                </c:pt>
                <c:pt idx="5">
                  <c:v>Sindicatos</c:v>
                </c:pt>
              </c:strCache>
            </c:strRef>
          </c:cat>
          <c:val>
            <c:numRef>
              <c:f>Hoja1!$E$2:$E$8</c:f>
              <c:numCache>
                <c:formatCode>General</c:formatCode>
                <c:ptCount val="7"/>
                <c:pt idx="0">
                  <c:v>0</c:v>
                </c:pt>
                <c:pt idx="1">
                  <c:v>2</c:v>
                </c:pt>
                <c:pt idx="2">
                  <c:v>0</c:v>
                </c:pt>
                <c:pt idx="3">
                  <c:v>0</c:v>
                </c:pt>
                <c:pt idx="4">
                  <c:v>0</c:v>
                </c:pt>
                <c:pt idx="5">
                  <c:v>0</c:v>
                </c:pt>
              </c:numCache>
            </c:numRef>
          </c:val>
          <c:extLst>
            <c:ext xmlns:c16="http://schemas.microsoft.com/office/drawing/2014/chart" uri="{C3380CC4-5D6E-409C-BE32-E72D297353CC}">
              <c16:uniqueId val="{00000002-0F1C-9C4C-94B4-2E1E20D0E960}"/>
            </c:ext>
          </c:extLst>
        </c:ser>
        <c:ser>
          <c:idx val="4"/>
          <c:order val="3"/>
          <c:tx>
            <c:strRef>
              <c:f>Hoja1!$F$1</c:f>
              <c:strCache>
                <c:ptCount val="1"/>
                <c:pt idx="0">
                  <c:v>Incumplimiento total (0 puntos)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6"/>
                <c:pt idx="0">
                  <c:v>Administración Pública Centralizada</c:v>
                </c:pt>
                <c:pt idx="1">
                  <c:v>Desconcentrados y Paraestatales Descentralizados, Auxiliares</c:v>
                </c:pt>
                <c:pt idx="2">
                  <c:v>Demarcaciones Políticas / Alcaldías</c:v>
                </c:pt>
                <c:pt idx="3">
                  <c:v>Poder Legislativo</c:v>
                </c:pt>
                <c:pt idx="4">
                  <c:v>Órganos Autónomos</c:v>
                </c:pt>
                <c:pt idx="5">
                  <c:v>Sindicatos</c:v>
                </c:pt>
              </c:strCache>
            </c:strRef>
          </c:cat>
          <c:val>
            <c:numRef>
              <c:f>Hoja1!$F$2:$F$8</c:f>
              <c:numCache>
                <c:formatCode>General</c:formatCode>
                <c:ptCount val="7"/>
                <c:pt idx="0">
                  <c:v>0</c:v>
                </c:pt>
                <c:pt idx="1">
                  <c:v>0</c:v>
                </c:pt>
                <c:pt idx="2">
                  <c:v>0</c:v>
                </c:pt>
                <c:pt idx="3">
                  <c:v>0</c:v>
                </c:pt>
                <c:pt idx="4">
                  <c:v>0</c:v>
                </c:pt>
                <c:pt idx="5">
                  <c:v>0</c:v>
                </c:pt>
              </c:numCache>
            </c:numRef>
          </c:val>
          <c:extLst>
            <c:ext xmlns:c16="http://schemas.microsoft.com/office/drawing/2014/chart" uri="{C3380CC4-5D6E-409C-BE32-E72D297353CC}">
              <c16:uniqueId val="{00000003-0F1C-9C4C-94B4-2E1E20D0E960}"/>
            </c:ext>
          </c:extLst>
        </c:ser>
        <c:dLbls>
          <c:dLblPos val="ctr"/>
          <c:showLegendKey val="0"/>
          <c:showVal val="1"/>
          <c:showCatName val="0"/>
          <c:showSerName val="0"/>
          <c:showPercent val="0"/>
          <c:showBubbleSize val="0"/>
        </c:dLbls>
        <c:gapWidth val="150"/>
        <c:overlap val="100"/>
        <c:axId val="635180495"/>
        <c:axId val="671965999"/>
      </c:barChart>
      <c:catAx>
        <c:axId val="635180495"/>
        <c:scaling>
          <c:orientation val="maxMin"/>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71965999"/>
        <c:crosses val="autoZero"/>
        <c:auto val="1"/>
        <c:lblAlgn val="ctr"/>
        <c:lblOffset val="100"/>
        <c:noMultiLvlLbl val="0"/>
      </c:catAx>
      <c:valAx>
        <c:axId val="671965999"/>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5180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Arial" panose="020B0604020202020204" pitchFamily="34" charset="0"/>
                <a:ea typeface="+mn-ea"/>
                <a:cs typeface="Arial" panose="020B0604020202020204" pitchFamily="34" charset="0"/>
              </a:defRPr>
            </a:pPr>
            <a:r>
              <a:rPr lang="es-MX"/>
              <a:t>Comparativo de resultados de la 2a Evaluación 2019 y la 1a</a:t>
            </a:r>
            <a:r>
              <a:rPr lang="es-MX" baseline="0"/>
              <a:t> Evaluación 2020, </a:t>
            </a:r>
            <a:r>
              <a:rPr lang="es-MX"/>
              <a:t>por ámbito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MX"/>
        </a:p>
      </c:txPr>
    </c:title>
    <c:autoTitleDeleted val="0"/>
    <c:plotArea>
      <c:layout/>
      <c:barChart>
        <c:barDir val="col"/>
        <c:grouping val="clustered"/>
        <c:varyColors val="0"/>
        <c:ser>
          <c:idx val="0"/>
          <c:order val="0"/>
          <c:tx>
            <c:strRef>
              <c:f>Hoja1!$B$1</c:f>
              <c:strCache>
                <c:ptCount val="1"/>
                <c:pt idx="0">
                  <c:v>2° Evaluación 2019 ICP</c:v>
                </c:pt>
              </c:strCache>
            </c:strRef>
          </c:tx>
          <c:spPr>
            <a:solidFill>
              <a:schemeClr val="accent2"/>
            </a:soli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Hoja1!$A$2:$A$7</c:f>
              <c:strCache>
                <c:ptCount val="6"/>
                <c:pt idx="0">
                  <c:v>Administración Pública Centralizada</c:v>
                </c:pt>
                <c:pt idx="1">
                  <c:v>Desconcentrados y Paraestatales Descentralizados, Auxiliares</c:v>
                </c:pt>
                <c:pt idx="2">
                  <c:v>Demarcaciones Territoriales / Alcaldías</c:v>
                </c:pt>
                <c:pt idx="3">
                  <c:v>Poder Judicial</c:v>
                </c:pt>
                <c:pt idx="4">
                  <c:v>Órganos Autónomos</c:v>
                </c:pt>
                <c:pt idx="5">
                  <c:v>Sindicatos</c:v>
                </c:pt>
              </c:strCache>
            </c:strRef>
          </c:cat>
          <c:val>
            <c:numRef>
              <c:f>Hoja1!$B$2:$B$7</c:f>
              <c:numCache>
                <c:formatCode>General</c:formatCode>
                <c:ptCount val="6"/>
                <c:pt idx="0">
                  <c:v>96.23</c:v>
                </c:pt>
                <c:pt idx="1">
                  <c:v>66.72</c:v>
                </c:pt>
                <c:pt idx="2">
                  <c:v>87.89</c:v>
                </c:pt>
                <c:pt idx="3">
                  <c:v>95.03</c:v>
                </c:pt>
                <c:pt idx="4">
                  <c:v>96.24</c:v>
                </c:pt>
                <c:pt idx="5">
                  <c:v>87.2</c:v>
                </c:pt>
              </c:numCache>
            </c:numRef>
          </c:val>
          <c:extLst>
            <c:ext xmlns:c16="http://schemas.microsoft.com/office/drawing/2014/chart" uri="{C3380CC4-5D6E-409C-BE32-E72D297353CC}">
              <c16:uniqueId val="{00000000-3A92-AE4E-8F44-24C4CA8C9A05}"/>
            </c:ext>
          </c:extLst>
        </c:ser>
        <c:ser>
          <c:idx val="1"/>
          <c:order val="1"/>
          <c:tx>
            <c:strRef>
              <c:f>Hoja1!$C$1</c:f>
              <c:strCache>
                <c:ptCount val="1"/>
                <c:pt idx="0">
                  <c:v>1° Evaluación 2020 ICP</c:v>
                </c:pt>
              </c:strCache>
            </c:strRef>
          </c:tx>
          <c:spPr>
            <a:solidFill>
              <a:schemeClr val="accent6"/>
            </a:soli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Hoja1!$A$2:$A$7</c:f>
              <c:strCache>
                <c:ptCount val="6"/>
                <c:pt idx="0">
                  <c:v>Administración Pública Centralizada</c:v>
                </c:pt>
                <c:pt idx="1">
                  <c:v>Desconcentrados y Paraestatales Descentralizados, Auxiliares</c:v>
                </c:pt>
                <c:pt idx="2">
                  <c:v>Demarcaciones Territoriales / Alcaldías</c:v>
                </c:pt>
                <c:pt idx="3">
                  <c:v>Poder Judicial</c:v>
                </c:pt>
                <c:pt idx="4">
                  <c:v>Órganos Autónomos</c:v>
                </c:pt>
                <c:pt idx="5">
                  <c:v>Sindicatos</c:v>
                </c:pt>
              </c:strCache>
            </c:strRef>
          </c:cat>
          <c:val>
            <c:numRef>
              <c:f>Hoja1!$C$2:$C$7</c:f>
              <c:numCache>
                <c:formatCode>General</c:formatCode>
                <c:ptCount val="6"/>
                <c:pt idx="0">
                  <c:v>97.37</c:v>
                </c:pt>
                <c:pt idx="1">
                  <c:v>72.66</c:v>
                </c:pt>
                <c:pt idx="2">
                  <c:v>94.92</c:v>
                </c:pt>
                <c:pt idx="3">
                  <c:v>99.1</c:v>
                </c:pt>
                <c:pt idx="4">
                  <c:v>98.34</c:v>
                </c:pt>
                <c:pt idx="5">
                  <c:v>97.26</c:v>
                </c:pt>
              </c:numCache>
            </c:numRef>
          </c:val>
          <c:extLst>
            <c:ext xmlns:c16="http://schemas.microsoft.com/office/drawing/2014/chart" uri="{C3380CC4-5D6E-409C-BE32-E72D297353CC}">
              <c16:uniqueId val="{00000001-3A92-AE4E-8F44-24C4CA8C9A05}"/>
            </c:ext>
          </c:extLst>
        </c:ser>
        <c:dLbls>
          <c:dLblPos val="outEnd"/>
          <c:showLegendKey val="0"/>
          <c:showVal val="1"/>
          <c:showCatName val="0"/>
          <c:showSerName val="0"/>
          <c:showPercent val="0"/>
          <c:showBubbleSize val="0"/>
        </c:dLbls>
        <c:gapWidth val="100"/>
        <c:overlap val="-24"/>
        <c:axId val="1082515728"/>
        <c:axId val="1082517360"/>
      </c:barChart>
      <c:catAx>
        <c:axId val="108251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MX"/>
          </a:p>
        </c:txPr>
        <c:crossAx val="1082517360"/>
        <c:crosses val="autoZero"/>
        <c:auto val="1"/>
        <c:lblAlgn val="ctr"/>
        <c:lblOffset val="100"/>
        <c:noMultiLvlLbl val="0"/>
      </c:catAx>
      <c:valAx>
        <c:axId val="1082517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MX"/>
          </a:p>
        </c:txPr>
        <c:crossAx val="1082515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2ae3fab-315d-443e-9524-ce387e921f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2CEB71514A8E1418139EA1350743DE9" ma:contentTypeVersion="11" ma:contentTypeDescription="Crear nuevo documento." ma:contentTypeScope="" ma:versionID="4e16d21e116afcacddfcc1d6af076aa6">
  <xsd:schema xmlns:xsd="http://www.w3.org/2001/XMLSchema" xmlns:xs="http://www.w3.org/2001/XMLSchema" xmlns:p="http://schemas.microsoft.com/office/2006/metadata/properties" xmlns:ns2="7a380d7f-3059-47a7-a8a6-4ef4184d0ae5" xmlns:ns3="52ae3fab-315d-443e-9524-ce387e921f62" targetNamespace="http://schemas.microsoft.com/office/2006/metadata/properties" ma:root="true" ma:fieldsID="70bdcc116a9310c9ebdf72da8f626612" ns2:_="" ns3:_="">
    <xsd:import namespace="7a380d7f-3059-47a7-a8a6-4ef4184d0ae5"/>
    <xsd:import namespace="52ae3fab-315d-443e-9524-ce387e921f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80d7f-3059-47a7-a8a6-4ef4184d0ae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ae3fab-315d-443e-9524-ce387e921f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58FBE-54CD-48BF-A43F-236FC69564EE}">
  <ds:schemaRefs>
    <ds:schemaRef ds:uri="http://schemas.microsoft.com/sharepoint/v3/contenttype/forms"/>
  </ds:schemaRefs>
</ds:datastoreItem>
</file>

<file path=customXml/itemProps2.xml><?xml version="1.0" encoding="utf-8"?>
<ds:datastoreItem xmlns:ds="http://schemas.openxmlformats.org/officeDocument/2006/customXml" ds:itemID="{1C6144C4-6315-4414-83C2-2E47BC18FDDB}">
  <ds:schemaRefs>
    <ds:schemaRef ds:uri="http://schemas.microsoft.com/office/2006/metadata/properties"/>
    <ds:schemaRef ds:uri="http://schemas.microsoft.com/office/infopath/2007/PartnerControls"/>
    <ds:schemaRef ds:uri="52ae3fab-315d-443e-9524-ce387e921f62"/>
  </ds:schemaRefs>
</ds:datastoreItem>
</file>

<file path=customXml/itemProps3.xml><?xml version="1.0" encoding="utf-8"?>
<ds:datastoreItem xmlns:ds="http://schemas.openxmlformats.org/officeDocument/2006/customXml" ds:itemID="{7AA8A6CC-5A89-4E7B-9AAF-2B173013F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80d7f-3059-47a7-a8a6-4ef4184d0ae5"/>
    <ds:schemaRef ds:uri="52ae3fab-315d-443e-9524-ce387e921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01D556-0561-044F-86D6-ADF489AD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56</Pages>
  <Words>13582</Words>
  <Characters>74703</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de Estado Abierto, Estudios y Evaluación</dc:creator>
  <cp:keywords/>
  <dc:description/>
  <cp:lastModifiedBy>Aldo Antonio Trapero Maldonado</cp:lastModifiedBy>
  <cp:revision>8</cp:revision>
  <cp:lastPrinted>2020-03-09T18:49:00Z</cp:lastPrinted>
  <dcterms:created xsi:type="dcterms:W3CDTF">2020-04-28T20:16:00Z</dcterms:created>
  <dcterms:modified xsi:type="dcterms:W3CDTF">2020-05-06T23:59:00Z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0x01010052CEB71514A8E1418139EA1350743DE9</vt:lpwstr>
  </property>
</Properties>
</file>